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BURKINA FASO</w:t>
        <w:br/>
      </w:r>
      <w:r>
        <w:rPr>
          <w:rFonts w:ascii="Times New Roman" w:hAnsi="Times New Roman"/>
          <w:b/>
          <w:sz w:val="22"/>
        </w:rPr>
        <w:t>DOCUMENT FICTIF DE TEST</w:t>
        <w:br/>
      </w:r>
      <w:r>
        <w:rPr>
          <w:rFonts w:ascii="Times New Roman" w:hAnsi="Times New Roman"/>
          <w:b/>
          <w:sz w:val="32"/>
        </w:rPr>
        <w:br/>
        <w:t>Analyse complémentaire : Étude des pratiques alimentaires et de la vulnérabilité nutritionnelle des ménages</w:t>
      </w:r>
    </w:p>
    <w:p>
      <w:pPr>
        <w:jc w:val="center"/>
      </w:pPr>
      <w:r>
        <w:rPr>
          <w:i/>
          <w:sz w:val="22"/>
        </w:rPr>
        <w:t>Rapport d’étude fictif sur diversité alimentaire, pratiques de soins, accès aux aliments</w:t>
      </w:r>
    </w:p>
    <w:p>
      <w:pPr>
        <w:jc w:val="center"/>
      </w:pPr>
      <w:r>
        <w:rPr>
          <w:sz w:val="20"/>
        </w:rPr>
        <w:br/>
        <w:t>Référence : RAP-NUT-093</w:t>
        <w:br/>
        <w:t>Année : 2026</w:t>
      </w:r>
    </w:p>
    <w:p>
      <w:r>
        <w:br w:type="page"/>
      </w:r>
    </w:p>
    <w:p>
      <w:pPr>
        <w:pStyle w:val="Heading1"/>
      </w:pPr>
      <w:r>
        <w:t>SIGLES ET ABRÉVIATIONS</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4968"/>
        <w:gridCol w:w="4968"/>
      </w:tblGrid>
      <w:tr>
        <w:tc>
          <w:tcPr>
            <w:tcW w:type="dxa" w:w="4968"/>
            <w:vAlign w:val="center"/>
          </w:tcPr>
          <w:p>
            <w:r/>
            <w:r>
              <w:rPr>
                <w:b/>
                <w:sz w:val="18"/>
              </w:rPr>
              <w:t>Sigle</w:t>
            </w:r>
          </w:p>
        </w:tc>
        <w:tc>
          <w:tcPr>
            <w:tcW w:type="dxa" w:w="4968"/>
            <w:vAlign w:val="center"/>
          </w:tcPr>
          <w:p>
            <w:r/>
            <w:r>
              <w:rPr>
                <w:b/>
                <w:sz w:val="18"/>
              </w:rPr>
              <w:t>Signification</w:t>
            </w:r>
          </w:p>
        </w:tc>
      </w:tr>
      <w:tr>
        <w:tc>
          <w:tcPr>
            <w:tcW w:type="dxa" w:w="4968"/>
            <w:vAlign w:val="center"/>
          </w:tcPr>
          <w:p>
            <w:r/>
            <w:r>
              <w:rPr>
                <w:b w:val="0"/>
                <w:sz w:val="18"/>
              </w:rPr>
              <w:t>AGR</w:t>
            </w:r>
          </w:p>
        </w:tc>
        <w:tc>
          <w:tcPr>
            <w:tcW w:type="dxa" w:w="4968"/>
            <w:vAlign w:val="center"/>
          </w:tcPr>
          <w:p>
            <w:r/>
            <w:r>
              <w:rPr>
                <w:b w:val="0"/>
                <w:sz w:val="18"/>
              </w:rPr>
              <w:t>Agriculture</w:t>
            </w:r>
          </w:p>
        </w:tc>
      </w:tr>
      <w:tr>
        <w:tc>
          <w:tcPr>
            <w:tcW w:type="dxa" w:w="4968"/>
            <w:vAlign w:val="center"/>
          </w:tcPr>
          <w:p>
            <w:r/>
            <w:r>
              <w:rPr>
                <w:b w:val="0"/>
                <w:sz w:val="18"/>
              </w:rPr>
              <w:t>AEP</w:t>
            </w:r>
          </w:p>
        </w:tc>
        <w:tc>
          <w:tcPr>
            <w:tcW w:type="dxa" w:w="4968"/>
            <w:vAlign w:val="center"/>
          </w:tcPr>
          <w:p>
            <w:r/>
            <w:r>
              <w:rPr>
                <w:b w:val="0"/>
                <w:sz w:val="18"/>
              </w:rPr>
              <w:t>Adduction d’eau potable</w:t>
            </w:r>
          </w:p>
        </w:tc>
      </w:tr>
      <w:tr>
        <w:tc>
          <w:tcPr>
            <w:tcW w:type="dxa" w:w="4968"/>
            <w:vAlign w:val="center"/>
          </w:tcPr>
          <w:p>
            <w:r/>
            <w:r>
              <w:rPr>
                <w:b w:val="0"/>
                <w:sz w:val="18"/>
              </w:rPr>
              <w:t>ONG</w:t>
            </w:r>
          </w:p>
        </w:tc>
        <w:tc>
          <w:tcPr>
            <w:tcW w:type="dxa" w:w="4968"/>
            <w:vAlign w:val="center"/>
          </w:tcPr>
          <w:p>
            <w:r/>
            <w:r>
              <w:rPr>
                <w:b w:val="0"/>
                <w:sz w:val="18"/>
              </w:rPr>
              <w:t>Organisation non gouvernementale</w:t>
            </w:r>
          </w:p>
        </w:tc>
      </w:tr>
      <w:tr>
        <w:tc>
          <w:tcPr>
            <w:tcW w:type="dxa" w:w="4968"/>
            <w:vAlign w:val="center"/>
          </w:tcPr>
          <w:p>
            <w:r/>
            <w:r>
              <w:rPr>
                <w:b w:val="0"/>
                <w:sz w:val="18"/>
              </w:rPr>
              <w:t>PME</w:t>
            </w:r>
          </w:p>
        </w:tc>
        <w:tc>
          <w:tcPr>
            <w:tcW w:type="dxa" w:w="4968"/>
            <w:vAlign w:val="center"/>
          </w:tcPr>
          <w:p>
            <w:r/>
            <w:r>
              <w:rPr>
                <w:b w:val="0"/>
                <w:sz w:val="18"/>
              </w:rPr>
              <w:t>Petite et moyenne entreprise</w:t>
            </w:r>
          </w:p>
        </w:tc>
      </w:tr>
      <w:tr>
        <w:tc>
          <w:tcPr>
            <w:tcW w:type="dxa" w:w="4968"/>
            <w:vAlign w:val="center"/>
          </w:tcPr>
          <w:p>
            <w:r/>
            <w:r>
              <w:rPr>
                <w:b w:val="0"/>
                <w:sz w:val="18"/>
              </w:rPr>
              <w:t>ODD</w:t>
            </w:r>
          </w:p>
        </w:tc>
        <w:tc>
          <w:tcPr>
            <w:tcW w:type="dxa" w:w="4968"/>
            <w:vAlign w:val="center"/>
          </w:tcPr>
          <w:p>
            <w:r/>
            <w:r>
              <w:rPr>
                <w:b w:val="0"/>
                <w:sz w:val="18"/>
              </w:rPr>
              <w:t>Objectifs de développement durable</w:t>
            </w:r>
          </w:p>
        </w:tc>
      </w:tr>
      <w:tr>
        <w:tc>
          <w:tcPr>
            <w:tcW w:type="dxa" w:w="4968"/>
            <w:vAlign w:val="center"/>
          </w:tcPr>
          <w:p>
            <w:r/>
            <w:r>
              <w:rPr>
                <w:b w:val="0"/>
                <w:sz w:val="18"/>
              </w:rPr>
              <w:t>TIC</w:t>
            </w:r>
          </w:p>
        </w:tc>
        <w:tc>
          <w:tcPr>
            <w:tcW w:type="dxa" w:w="4968"/>
            <w:vAlign w:val="center"/>
          </w:tcPr>
          <w:p>
            <w:r/>
            <w:r>
              <w:rPr>
                <w:b w:val="0"/>
                <w:sz w:val="18"/>
              </w:rPr>
              <w:t>Technologies de l’information et de la communication</w:t>
            </w:r>
          </w:p>
        </w:tc>
      </w:tr>
    </w:tbl>
    <w:p/>
    <w:p>
      <w:pPr>
        <w:pStyle w:val="Heading1"/>
      </w:pPr>
      <w:r>
        <w:t>RÉSUMÉ EXÉCUTIF</w:t>
      </w:r>
    </w:p>
    <w:p>
      <w:r>
        <w:t>Cette étude porte sur diversité alimentaire, pratiques de soins, accès aux aliments dans les zones de Centre-Nord, Bam, Sanmatenga. Elle vise à documenter la situation, à identifier les principales contraintes et à proposer des pistes d’amélioration. La démarche a combiné revue documentaire, collecte de données et échanges avec les parties prenantes. Les résultats mettent en évidence des écarts entre les besoins exprimés et les capacités disponibles, ainsi que plusieurs possibilités d’action à court et moyen terme.</w:t>
      </w:r>
    </w:p>
    <w:p>
      <w:pPr>
        <w:pStyle w:val="Heading1"/>
      </w:pPr>
      <w:r>
        <w:t>INTRODUCTION</w:t>
      </w:r>
    </w:p>
    <w:p>
      <w:r>
        <w:t>Le présent rapport est établi dans le cadre de la mission confiée au bureau d’études. Les analyses présentées reposent sur les données disponibles et sur les informations recueillies auprès des acteurs rencontrés. Les résultats doivent être interprétés au regard du champ de l’étude.</w:t>
      </w:r>
    </w:p>
    <w:p>
      <w:r>
        <w:t>L’étude a été consacrée à diversité alimentaire, pratiques de soins, accès aux aliments. Elle s’inscrit dans un contexte où les acteurs recherchent des informations opérationnelles pour mieux cibler leurs interventions et améliorer l’utilisation des ressources.</w:t>
      </w:r>
    </w:p>
    <w:p>
      <w:r>
        <w:t>Le rapport est structuré autour du contexte et de la méthodologie, de la présentation des principaux résultats, de leur discussion, puis de conclusions et recommandations. Les annexes regroupent les éléments techniques utiles à la lecture des résultats.</w:t>
      </w:r>
    </w:p>
    <w:p>
      <w:pPr>
        <w:pStyle w:val="Heading1"/>
      </w:pPr>
      <w:r>
        <w:t>I. CONTEXTE ET JUSTIFICATION DE L’ÉTUDE</w:t>
      </w:r>
    </w:p>
    <w:p>
      <w:r>
        <w:t>Dans les zones étudiées, les dynamiques liées à diversité alimentaire, pratiques de soins, accès aux aliments sont influencées par les conditions économiques, l’accès aux services, les capacités des institutions et les pratiques des populations. Les informations disponibles ne sont pas toujours homogènes selon les localités.</w:t>
      </w:r>
    </w:p>
    <w:p>
      <w:r>
        <w:t>La réalisation de l’étude répond donc au besoin de disposer d’un diagnostic actualisé sur diversité alimentaire, pratiques de soins, accès aux aliments, permettant de distinguer les contraintes structurelles des difficultés ponctuelles et de mieux hiérarchiser les réponses.</w:t>
      </w:r>
    </w:p>
    <w:p>
      <w:pPr>
        <w:pStyle w:val="Heading1"/>
      </w:pPr>
      <w:r>
        <w:t>II. APERÇU MÉTHODOLOGIQUE DE L’ÉTUDE</w:t>
      </w:r>
    </w:p>
    <w:p>
      <w:r>
        <w:t>La démarche méthodologique a combiné une revue documentaire, des entretiens auprès des acteurs clés, des observations de terrain et une analyse descriptive des données disponibles.</w:t>
      </w:r>
    </w:p>
    <w:p>
      <w:pPr>
        <w:pStyle w:val="Heading2"/>
      </w:pPr>
      <w:r>
        <w:t>II.1. Zone et population d’étude</w:t>
      </w:r>
    </w:p>
    <w:p>
      <w:r>
        <w:t>La collecte a concerné les zones de Centre-Nord, Bam, Sanmatenga. Les unités d’observation ont été sélectionnées de manière à représenter les principaux profils d’acteurs concernés par le sujet.</w:t>
      </w:r>
    </w:p>
    <w:p>
      <w:pPr>
        <w:pStyle w:val="Heading2"/>
      </w:pPr>
      <w:r>
        <w:t>II.2. Outils de collecte</w:t>
      </w:r>
    </w:p>
    <w:p>
      <w:pPr>
        <w:pStyle w:val="ListBullet"/>
      </w:pPr>
      <w:r>
        <w:t>Guide d’entretien destiné aux responsables institutionnels et acteurs techniques.</w:t>
      </w:r>
    </w:p>
    <w:p>
      <w:pPr>
        <w:pStyle w:val="ListBullet"/>
      </w:pPr>
      <w:r>
        <w:t>Questionnaire court destiné aux unités ou ménages ciblés.</w:t>
      </w:r>
    </w:p>
    <w:p>
      <w:pPr>
        <w:pStyle w:val="ListBullet"/>
      </w:pPr>
      <w:r>
        <w:t>Fiche d’observation permettant de documenter les équipements, pratiques ou services.</w:t>
      </w:r>
    </w:p>
    <w:p>
      <w:pPr>
        <w:pStyle w:val="ListBullet"/>
      </w:pPr>
      <w:r>
        <w:t>Grille de revue documentaire et de contrôle de cohérence.</w:t>
      </w:r>
    </w:p>
    <w:p>
      <w:pPr>
        <w:pStyle w:val="Heading2"/>
      </w:pPr>
      <w:r>
        <w:t>II.3. Traitement et analyse</w:t>
      </w:r>
    </w:p>
    <w:p>
      <w:r>
        <w:t>Les données quantitatives ont été contrôlées, codées et synthétisées sous forme de fréquences et de pourcentages. Les informations qualitatives ont été regroupées par thèmes afin d’identifier les convergences, les divergences et les facteurs explicatifs.</w:t>
      </w:r>
    </w:p>
    <w:p>
      <w:pPr>
        <w:pStyle w:val="Heading1"/>
      </w:pPr>
      <w:r>
        <w:t>III. PRINCIPALES CARACTÉRISTIQUES DE LA POPULATION OU DES UNITÉS ÉTUDIÉES</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3312"/>
        <w:gridCol w:w="3312"/>
        <w:gridCol w:w="3312"/>
      </w:tblGrid>
      <w:tr>
        <w:tc>
          <w:tcPr>
            <w:tcW w:type="dxa" w:w="3312"/>
            <w:vAlign w:val="center"/>
          </w:tcPr>
          <w:p>
            <w:r/>
            <w:r>
              <w:rPr>
                <w:b/>
                <w:sz w:val="18"/>
              </w:rPr>
              <w:t>Catégorie</w:t>
            </w:r>
          </w:p>
        </w:tc>
        <w:tc>
          <w:tcPr>
            <w:tcW w:type="dxa" w:w="3312"/>
            <w:vAlign w:val="center"/>
          </w:tcPr>
          <w:p>
            <w:r/>
            <w:r>
              <w:rPr>
                <w:b/>
                <w:sz w:val="18"/>
              </w:rPr>
              <w:t>Effectif</w:t>
            </w:r>
          </w:p>
        </w:tc>
        <w:tc>
          <w:tcPr>
            <w:tcW w:type="dxa" w:w="3312"/>
            <w:vAlign w:val="center"/>
          </w:tcPr>
          <w:p>
            <w:r/>
            <w:r>
              <w:rPr>
                <w:b/>
                <w:sz w:val="18"/>
              </w:rPr>
              <w:t>Pourcentage</w:t>
            </w:r>
          </w:p>
        </w:tc>
      </w:tr>
      <w:tr>
        <w:tc>
          <w:tcPr>
            <w:tcW w:type="dxa" w:w="3312"/>
            <w:vAlign w:val="center"/>
          </w:tcPr>
          <w:p>
            <w:r/>
            <w:r>
              <w:rPr>
                <w:b w:val="0"/>
                <w:sz w:val="18"/>
              </w:rPr>
              <w:t>Ensemble</w:t>
            </w:r>
          </w:p>
        </w:tc>
        <w:tc>
          <w:tcPr>
            <w:tcW w:type="dxa" w:w="3312"/>
            <w:vAlign w:val="center"/>
          </w:tcPr>
          <w:p>
            <w:r/>
            <w:r>
              <w:rPr>
                <w:b w:val="0"/>
                <w:sz w:val="18"/>
              </w:rPr>
              <w:t>784</w:t>
            </w:r>
          </w:p>
        </w:tc>
        <w:tc>
          <w:tcPr>
            <w:tcW w:type="dxa" w:w="3312"/>
            <w:vAlign w:val="center"/>
          </w:tcPr>
          <w:p>
            <w:r/>
            <w:r>
              <w:rPr>
                <w:b w:val="0"/>
                <w:sz w:val="18"/>
              </w:rPr>
              <w:t>100,0</w:t>
            </w:r>
          </w:p>
        </w:tc>
      </w:tr>
      <w:tr>
        <w:tc>
          <w:tcPr>
            <w:tcW w:type="dxa" w:w="3312"/>
            <w:vAlign w:val="center"/>
          </w:tcPr>
          <w:p>
            <w:r/>
            <w:r>
              <w:rPr>
                <w:b w:val="0"/>
                <w:sz w:val="18"/>
              </w:rPr>
              <w:t>Zone urbaine</w:t>
            </w:r>
          </w:p>
        </w:tc>
        <w:tc>
          <w:tcPr>
            <w:tcW w:type="dxa" w:w="3312"/>
            <w:vAlign w:val="center"/>
          </w:tcPr>
          <w:p>
            <w:r/>
            <w:r>
              <w:rPr>
                <w:b w:val="0"/>
                <w:sz w:val="18"/>
              </w:rPr>
              <w:t>384</w:t>
            </w:r>
          </w:p>
        </w:tc>
        <w:tc>
          <w:tcPr>
            <w:tcW w:type="dxa" w:w="3312"/>
            <w:vAlign w:val="center"/>
          </w:tcPr>
          <w:p>
            <w:r/>
            <w:r>
              <w:rPr>
                <w:b w:val="0"/>
                <w:sz w:val="18"/>
              </w:rPr>
              <w:t>49,0</w:t>
            </w:r>
          </w:p>
        </w:tc>
      </w:tr>
      <w:tr>
        <w:tc>
          <w:tcPr>
            <w:tcW w:type="dxa" w:w="3312"/>
            <w:vAlign w:val="center"/>
          </w:tcPr>
          <w:p>
            <w:r/>
            <w:r>
              <w:rPr>
                <w:b w:val="0"/>
                <w:sz w:val="18"/>
              </w:rPr>
              <w:t>Zone rurale</w:t>
            </w:r>
          </w:p>
        </w:tc>
        <w:tc>
          <w:tcPr>
            <w:tcW w:type="dxa" w:w="3312"/>
            <w:vAlign w:val="center"/>
          </w:tcPr>
          <w:p>
            <w:r/>
            <w:r>
              <w:rPr>
                <w:b w:val="0"/>
                <w:sz w:val="18"/>
              </w:rPr>
              <w:t>400</w:t>
            </w:r>
          </w:p>
        </w:tc>
        <w:tc>
          <w:tcPr>
            <w:tcW w:type="dxa" w:w="3312"/>
            <w:vAlign w:val="center"/>
          </w:tcPr>
          <w:p>
            <w:r/>
            <w:r>
              <w:rPr>
                <w:b w:val="0"/>
                <w:sz w:val="18"/>
              </w:rPr>
              <w:t>51,0</w:t>
            </w:r>
          </w:p>
        </w:tc>
      </w:tr>
      <w:tr>
        <w:tc>
          <w:tcPr>
            <w:tcW w:type="dxa" w:w="3312"/>
            <w:vAlign w:val="center"/>
          </w:tcPr>
          <w:p>
            <w:r/>
            <w:r>
              <w:rPr>
                <w:b w:val="0"/>
                <w:sz w:val="18"/>
              </w:rPr>
              <w:t>Femmes / unités dirigées par une femme</w:t>
            </w:r>
          </w:p>
        </w:tc>
        <w:tc>
          <w:tcPr>
            <w:tcW w:type="dxa" w:w="3312"/>
            <w:vAlign w:val="center"/>
          </w:tcPr>
          <w:p>
            <w:r/>
            <w:r>
              <w:rPr>
                <w:b w:val="0"/>
                <w:sz w:val="18"/>
              </w:rPr>
              <w:t>392</w:t>
            </w:r>
          </w:p>
        </w:tc>
        <w:tc>
          <w:tcPr>
            <w:tcW w:type="dxa" w:w="3312"/>
            <w:vAlign w:val="center"/>
          </w:tcPr>
          <w:p>
            <w:r/>
            <w:r>
              <w:rPr>
                <w:b w:val="0"/>
                <w:sz w:val="18"/>
              </w:rPr>
              <w:t>50,0</w:t>
            </w:r>
          </w:p>
        </w:tc>
      </w:tr>
    </w:tbl>
    <w:p/>
    <w:p>
      <w:pPr>
        <w:pStyle w:val="Heading1"/>
      </w:pPr>
      <w:r>
        <w:t>IV. ANALYSE DES PRINCIPAUX RÉSULTATS</w:t>
      </w:r>
    </w:p>
    <w:p>
      <w:pPr>
        <w:pStyle w:val="Heading2"/>
      </w:pPr>
      <w:r>
        <w:t>IV.1. Situation générale</w:t>
      </w:r>
    </w:p>
    <w:p>
      <w:r>
        <w:t>Les données recueillies indiquent que la situation concernant diversité alimentaire, pratiques de soins, accès aux aliments reste variable selon les zones. Les unités les mieux desservies disposent généralement de ressources plus régulières, tandis que les zones périphériques font davantage face à des contraintes d’accès, de financement ou de maintenance.</w:t>
      </w:r>
    </w:p>
    <w:p>
      <w:r>
        <w:t>Les échanges réalisés suggèrent également que les difficultés ne relèvent pas d’un seul facteur. Elles résultent de l’interaction entre la disponibilité des ressources, l’organisation des services, les capacités techniques et les comportements des usagers.</w:t>
      </w:r>
    </w:p>
    <w:p>
      <w:pPr>
        <w:pStyle w:val="Heading2"/>
      </w:pPr>
      <w:r>
        <w:t>IV.2. Indicateurs synthétiques</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3312"/>
        <w:gridCol w:w="3312"/>
        <w:gridCol w:w="3312"/>
      </w:tblGrid>
      <w:tr>
        <w:tc>
          <w:tcPr>
            <w:tcW w:type="dxa" w:w="3312"/>
            <w:vAlign w:val="center"/>
          </w:tcPr>
          <w:p>
            <w:r/>
            <w:r>
              <w:rPr>
                <w:b/>
                <w:sz w:val="18"/>
              </w:rPr>
              <w:t>Indicateur</w:t>
            </w:r>
          </w:p>
        </w:tc>
        <w:tc>
          <w:tcPr>
            <w:tcW w:type="dxa" w:w="3312"/>
            <w:vAlign w:val="center"/>
          </w:tcPr>
          <w:p>
            <w:r/>
            <w:r>
              <w:rPr>
                <w:b/>
                <w:sz w:val="18"/>
              </w:rPr>
              <w:t>Valeur (%)</w:t>
            </w:r>
          </w:p>
        </w:tc>
        <w:tc>
          <w:tcPr>
            <w:tcW w:type="dxa" w:w="3312"/>
            <w:vAlign w:val="center"/>
          </w:tcPr>
          <w:p>
            <w:r/>
            <w:r>
              <w:rPr>
                <w:b/>
                <w:sz w:val="18"/>
              </w:rPr>
              <w:t>Lecture</w:t>
            </w:r>
          </w:p>
        </w:tc>
      </w:tr>
      <w:tr>
        <w:tc>
          <w:tcPr>
            <w:tcW w:type="dxa" w:w="3312"/>
            <w:vAlign w:val="center"/>
          </w:tcPr>
          <w:p>
            <w:r/>
            <w:r>
              <w:rPr>
                <w:b w:val="0"/>
                <w:sz w:val="18"/>
              </w:rPr>
              <w:t>Accès jugé satisfaisant</w:t>
            </w:r>
          </w:p>
        </w:tc>
        <w:tc>
          <w:tcPr>
            <w:tcW w:type="dxa" w:w="3312"/>
            <w:vAlign w:val="center"/>
          </w:tcPr>
          <w:p>
            <w:r/>
            <w:r>
              <w:rPr>
                <w:b w:val="0"/>
                <w:sz w:val="18"/>
              </w:rPr>
              <w:t>53</w:t>
            </w:r>
          </w:p>
        </w:tc>
        <w:tc>
          <w:tcPr>
            <w:tcW w:type="dxa" w:w="3312"/>
            <w:vAlign w:val="center"/>
          </w:tcPr>
          <w:p>
            <w:r/>
            <w:r>
              <w:rPr>
                <w:b w:val="0"/>
                <w:sz w:val="18"/>
              </w:rPr>
              <w:t>Situation favorable mais non homogène</w:t>
            </w:r>
          </w:p>
        </w:tc>
      </w:tr>
      <w:tr>
        <w:tc>
          <w:tcPr>
            <w:tcW w:type="dxa" w:w="3312"/>
            <w:vAlign w:val="center"/>
          </w:tcPr>
          <w:p>
            <w:r/>
            <w:r>
              <w:rPr>
                <w:b w:val="0"/>
                <w:sz w:val="18"/>
              </w:rPr>
              <w:t>Contraintes majeures signalées</w:t>
            </w:r>
          </w:p>
        </w:tc>
        <w:tc>
          <w:tcPr>
            <w:tcW w:type="dxa" w:w="3312"/>
            <w:vAlign w:val="center"/>
          </w:tcPr>
          <w:p>
            <w:r/>
            <w:r>
              <w:rPr>
                <w:b w:val="0"/>
                <w:sz w:val="18"/>
              </w:rPr>
              <w:t>23</w:t>
            </w:r>
          </w:p>
        </w:tc>
        <w:tc>
          <w:tcPr>
            <w:tcW w:type="dxa" w:w="3312"/>
            <w:vAlign w:val="center"/>
          </w:tcPr>
          <w:p>
            <w:r/>
            <w:r>
              <w:rPr>
                <w:b w:val="0"/>
                <w:sz w:val="18"/>
              </w:rPr>
              <w:t>Nécessite des mesures ciblées</w:t>
            </w:r>
          </w:p>
        </w:tc>
      </w:tr>
      <w:tr>
        <w:tc>
          <w:tcPr>
            <w:tcW w:type="dxa" w:w="3312"/>
            <w:vAlign w:val="center"/>
          </w:tcPr>
          <w:p>
            <w:r/>
            <w:r>
              <w:rPr>
                <w:b w:val="0"/>
                <w:sz w:val="18"/>
              </w:rPr>
              <w:t>Situation intermédiaire / autre</w:t>
            </w:r>
          </w:p>
        </w:tc>
        <w:tc>
          <w:tcPr>
            <w:tcW w:type="dxa" w:w="3312"/>
            <w:vAlign w:val="center"/>
          </w:tcPr>
          <w:p>
            <w:r/>
            <w:r>
              <w:rPr>
                <w:b w:val="0"/>
                <w:sz w:val="18"/>
              </w:rPr>
              <w:t>24</w:t>
            </w:r>
          </w:p>
        </w:tc>
        <w:tc>
          <w:tcPr>
            <w:tcW w:type="dxa" w:w="3312"/>
            <w:vAlign w:val="center"/>
          </w:tcPr>
          <w:p>
            <w:r/>
            <w:r>
              <w:rPr>
                <w:b w:val="0"/>
                <w:sz w:val="18"/>
              </w:rPr>
              <w:t>Améliorations possibles</w:t>
            </w:r>
          </w:p>
        </w:tc>
      </w:tr>
    </w:tbl>
    <w:p/>
    <w:p>
      <w:pPr>
        <w:pStyle w:val="Heading2"/>
      </w:pPr>
      <w:r>
        <w:t>IV.3. Contraintes identifiées</w:t>
      </w:r>
    </w:p>
    <w:p>
      <w:pPr>
        <w:pStyle w:val="ListBullet"/>
      </w:pPr>
      <w:r>
        <w:t>Insuffisance ou irrégularité des ressources disponibles dans certaines localités.</w:t>
      </w:r>
    </w:p>
    <w:p>
      <w:pPr>
        <w:pStyle w:val="ListBullet"/>
      </w:pPr>
      <w:r>
        <w:t>Capacités techniques inégales entre les structures.</w:t>
      </w:r>
    </w:p>
    <w:p>
      <w:pPr>
        <w:pStyle w:val="ListBullet"/>
      </w:pPr>
      <w:r>
        <w:t>Difficultés de maintenance et de suivi des équipements ou activités.</w:t>
      </w:r>
    </w:p>
    <w:p>
      <w:pPr>
        <w:pStyle w:val="ListBullet"/>
      </w:pPr>
      <w:r>
        <w:t>Coordination perfectible entre les différents intervenants.</w:t>
      </w:r>
    </w:p>
    <w:p>
      <w:pPr>
        <w:pStyle w:val="ListBullet"/>
      </w:pPr>
      <w:r>
        <w:t>Disponibilité limitée de données régulières pour le pilotage.</w:t>
      </w:r>
    </w:p>
    <w:p>
      <w:pPr>
        <w:pStyle w:val="Heading1"/>
      </w:pPr>
      <w:r>
        <w:t>V. DISCUSSION</w:t>
      </w:r>
    </w:p>
    <w:p>
      <w:r>
        <w:t>Les résultats doivent être rapprochés des réalités économiques et institutionnelles propres aux zones étudiées. La question de diversité alimentaire, pratiques de soins, accès aux aliments ne peut être abordée uniquement par l’augmentation des moyens ; elle suppose également une meilleure organisation, un suivi régulier et une clarification des responsabilités.</w:t>
      </w:r>
    </w:p>
    <w:p>
      <w:r>
        <w:t>Les écarts observés entre localités montrent l’intérêt d’approches différenciées. Une mesure uniforme peut produire des effets limités si elle ne tient pas compte des capacités locales, des distances, de la saisonnalité et des pratiques des bénéficiaires.</w:t>
      </w:r>
    </w:p>
    <w:p>
      <w:pPr>
        <w:pStyle w:val="Heading1"/>
      </w:pPr>
      <w:r>
        <w:t>VI. CONCLUSION</w:t>
      </w:r>
    </w:p>
    <w:p>
      <w:r>
        <w:t>L’étude consacrée à diversité alimentaire, pratiques de soins, accès aux aliments a permis de documenter les principales caractéristiques de la situation dans les zones couvertes. Les constats mettent en évidence des besoins persistants mais aussi des ressources et initiatives sur lesquelles les acteurs peuvent s’appuyer.</w:t>
      </w:r>
    </w:p>
    <w:p>
      <w:pPr>
        <w:pStyle w:val="Heading1"/>
      </w:pPr>
      <w:r>
        <w:t>VII. RECOMMANDATIONS</w:t>
      </w:r>
    </w:p>
    <w:p>
      <w:pPr>
        <w:pStyle w:val="ListNumber"/>
      </w:pPr>
      <w:r>
        <w:t>Mettre en place un mécanisme régulier de collecte et de mise à jour des données.</w:t>
      </w:r>
    </w:p>
    <w:p>
      <w:pPr>
        <w:pStyle w:val="ListNumber"/>
      </w:pPr>
      <w:r>
        <w:t>Renforcer les capacités des équipes locales responsables du suivi.</w:t>
      </w:r>
    </w:p>
    <w:p>
      <w:pPr>
        <w:pStyle w:val="ListNumber"/>
      </w:pPr>
      <w:r>
        <w:t>Prioriser les interventions dans les zones présentant les écarts les plus importants.</w:t>
      </w:r>
    </w:p>
    <w:p>
      <w:pPr>
        <w:pStyle w:val="ListNumber"/>
      </w:pPr>
      <w:r>
        <w:t>Améliorer la coordination et le partage d’informations entre les acteurs.</w:t>
      </w:r>
    </w:p>
    <w:p>
      <w:pPr>
        <w:pStyle w:val="ListNumber"/>
      </w:pPr>
      <w:r>
        <w:t>Prévoir un dispositif de suivi des recommandations avec des indicateurs simples et mesurables.</w:t>
      </w:r>
    </w:p>
    <w:p>
      <w:pPr>
        <w:pStyle w:val="Heading1"/>
      </w:pPr>
      <w:r>
        <w:t>VIII. PLAN D’ACTION INDICATIF</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2484"/>
        <w:gridCol w:w="2484"/>
        <w:gridCol w:w="2484"/>
        <w:gridCol w:w="2484"/>
      </w:tblGrid>
      <w:tr>
        <w:tc>
          <w:tcPr>
            <w:tcW w:type="dxa" w:w="2484"/>
            <w:vAlign w:val="center"/>
          </w:tcPr>
          <w:p>
            <w:r/>
            <w:r>
              <w:rPr>
                <w:b/>
                <w:sz w:val="18"/>
              </w:rPr>
              <w:t>Action</w:t>
            </w:r>
          </w:p>
        </w:tc>
        <w:tc>
          <w:tcPr>
            <w:tcW w:type="dxa" w:w="2484"/>
            <w:vAlign w:val="center"/>
          </w:tcPr>
          <w:p>
            <w:r/>
            <w:r>
              <w:rPr>
                <w:b/>
                <w:sz w:val="18"/>
              </w:rPr>
              <w:t>Responsable indicatif</w:t>
            </w:r>
          </w:p>
        </w:tc>
        <w:tc>
          <w:tcPr>
            <w:tcW w:type="dxa" w:w="2484"/>
            <w:vAlign w:val="center"/>
          </w:tcPr>
          <w:p>
            <w:r/>
            <w:r>
              <w:rPr>
                <w:b/>
                <w:sz w:val="18"/>
              </w:rPr>
              <w:t>Horizon</w:t>
            </w:r>
          </w:p>
        </w:tc>
        <w:tc>
          <w:tcPr>
            <w:tcW w:type="dxa" w:w="2484"/>
            <w:vAlign w:val="center"/>
          </w:tcPr>
          <w:p>
            <w:r/>
            <w:r>
              <w:rPr>
                <w:b/>
                <w:sz w:val="18"/>
              </w:rPr>
              <w:t>Indicateur</w:t>
            </w:r>
          </w:p>
        </w:tc>
      </w:tr>
      <w:tr>
        <w:tc>
          <w:tcPr>
            <w:tcW w:type="dxa" w:w="2484"/>
            <w:vAlign w:val="center"/>
          </w:tcPr>
          <w:p>
            <w:r/>
            <w:r>
              <w:rPr>
                <w:b w:val="0"/>
                <w:sz w:val="18"/>
              </w:rPr>
              <w:t>Actualiser le diagnostic</w:t>
            </w:r>
          </w:p>
        </w:tc>
        <w:tc>
          <w:tcPr>
            <w:tcW w:type="dxa" w:w="2484"/>
            <w:vAlign w:val="center"/>
          </w:tcPr>
          <w:p>
            <w:r/>
            <w:r>
              <w:rPr>
                <w:b w:val="0"/>
                <w:sz w:val="18"/>
              </w:rPr>
              <w:t>Structure porteuse</w:t>
            </w:r>
          </w:p>
        </w:tc>
        <w:tc>
          <w:tcPr>
            <w:tcW w:type="dxa" w:w="2484"/>
            <w:vAlign w:val="center"/>
          </w:tcPr>
          <w:p>
            <w:r/>
            <w:r>
              <w:rPr>
                <w:b w:val="0"/>
                <w:sz w:val="18"/>
              </w:rPr>
              <w:t>6 mois</w:t>
            </w:r>
          </w:p>
        </w:tc>
        <w:tc>
          <w:tcPr>
            <w:tcW w:type="dxa" w:w="2484"/>
            <w:vAlign w:val="center"/>
          </w:tcPr>
          <w:p>
            <w:r/>
            <w:r>
              <w:rPr>
                <w:b w:val="0"/>
                <w:sz w:val="18"/>
              </w:rPr>
              <w:t>Base de données mise à jour</w:t>
            </w:r>
          </w:p>
        </w:tc>
      </w:tr>
      <w:tr>
        <w:tc>
          <w:tcPr>
            <w:tcW w:type="dxa" w:w="2484"/>
            <w:vAlign w:val="center"/>
          </w:tcPr>
          <w:p>
            <w:r/>
            <w:r>
              <w:rPr>
                <w:b w:val="0"/>
                <w:sz w:val="18"/>
              </w:rPr>
              <w:t>Renforcer les capacités</w:t>
            </w:r>
          </w:p>
        </w:tc>
        <w:tc>
          <w:tcPr>
            <w:tcW w:type="dxa" w:w="2484"/>
            <w:vAlign w:val="center"/>
          </w:tcPr>
          <w:p>
            <w:r/>
            <w:r>
              <w:rPr>
                <w:b w:val="0"/>
                <w:sz w:val="18"/>
              </w:rPr>
              <w:t>Service technique</w:t>
            </w:r>
          </w:p>
        </w:tc>
        <w:tc>
          <w:tcPr>
            <w:tcW w:type="dxa" w:w="2484"/>
            <w:vAlign w:val="center"/>
          </w:tcPr>
          <w:p>
            <w:r/>
            <w:r>
              <w:rPr>
                <w:b w:val="0"/>
                <w:sz w:val="18"/>
              </w:rPr>
              <w:t>12 mois</w:t>
            </w:r>
          </w:p>
        </w:tc>
        <w:tc>
          <w:tcPr>
            <w:tcW w:type="dxa" w:w="2484"/>
            <w:vAlign w:val="center"/>
          </w:tcPr>
          <w:p>
            <w:r/>
            <w:r>
              <w:rPr>
                <w:b w:val="0"/>
                <w:sz w:val="18"/>
              </w:rPr>
              <w:t>Nombre d’agents formés</w:t>
            </w:r>
          </w:p>
        </w:tc>
      </w:tr>
      <w:tr>
        <w:tc>
          <w:tcPr>
            <w:tcW w:type="dxa" w:w="2484"/>
            <w:vAlign w:val="center"/>
          </w:tcPr>
          <w:p>
            <w:r/>
            <w:r>
              <w:rPr>
                <w:b w:val="0"/>
                <w:sz w:val="18"/>
              </w:rPr>
              <w:t>Mettre en œuvre les priorités</w:t>
            </w:r>
          </w:p>
        </w:tc>
        <w:tc>
          <w:tcPr>
            <w:tcW w:type="dxa" w:w="2484"/>
            <w:vAlign w:val="center"/>
          </w:tcPr>
          <w:p>
            <w:r/>
            <w:r>
              <w:rPr>
                <w:b w:val="0"/>
                <w:sz w:val="18"/>
              </w:rPr>
              <w:t>Acteurs locaux</w:t>
            </w:r>
          </w:p>
        </w:tc>
        <w:tc>
          <w:tcPr>
            <w:tcW w:type="dxa" w:w="2484"/>
            <w:vAlign w:val="center"/>
          </w:tcPr>
          <w:p>
            <w:r/>
            <w:r>
              <w:rPr>
                <w:b w:val="0"/>
                <w:sz w:val="18"/>
              </w:rPr>
              <w:t>12–24 mois</w:t>
            </w:r>
          </w:p>
        </w:tc>
        <w:tc>
          <w:tcPr>
            <w:tcW w:type="dxa" w:w="2484"/>
            <w:vAlign w:val="center"/>
          </w:tcPr>
          <w:p>
            <w:r/>
            <w:r>
              <w:rPr>
                <w:b w:val="0"/>
                <w:sz w:val="18"/>
              </w:rPr>
              <w:t>Taux de réalisation</w:t>
            </w:r>
          </w:p>
        </w:tc>
      </w:tr>
      <w:tr>
        <w:tc>
          <w:tcPr>
            <w:tcW w:type="dxa" w:w="2484"/>
            <w:vAlign w:val="center"/>
          </w:tcPr>
          <w:p>
            <w:r/>
            <w:r>
              <w:rPr>
                <w:b w:val="0"/>
                <w:sz w:val="18"/>
              </w:rPr>
              <w:t>Évaluer les progrès</w:t>
            </w:r>
          </w:p>
        </w:tc>
        <w:tc>
          <w:tcPr>
            <w:tcW w:type="dxa" w:w="2484"/>
            <w:vAlign w:val="center"/>
          </w:tcPr>
          <w:p>
            <w:r/>
            <w:r>
              <w:rPr>
                <w:b w:val="0"/>
                <w:sz w:val="18"/>
              </w:rPr>
              <w:t>Comité de suivi</w:t>
            </w:r>
          </w:p>
        </w:tc>
        <w:tc>
          <w:tcPr>
            <w:tcW w:type="dxa" w:w="2484"/>
            <w:vAlign w:val="center"/>
          </w:tcPr>
          <w:p>
            <w:r/>
            <w:r>
              <w:rPr>
                <w:b w:val="0"/>
                <w:sz w:val="18"/>
              </w:rPr>
              <w:t>Annuel</w:t>
            </w:r>
          </w:p>
        </w:tc>
        <w:tc>
          <w:tcPr>
            <w:tcW w:type="dxa" w:w="2484"/>
            <w:vAlign w:val="center"/>
          </w:tcPr>
          <w:p>
            <w:r/>
            <w:r>
              <w:rPr>
                <w:b w:val="0"/>
                <w:sz w:val="18"/>
              </w:rPr>
              <w:t>Rapport de suivi disponible</w:t>
            </w:r>
          </w:p>
        </w:tc>
      </w:tr>
    </w:tbl>
    <w:p/>
    <w:p>
      <w:pPr>
        <w:pStyle w:val="Heading1"/>
      </w:pPr>
      <w:r>
        <w:t>BIBLIOGRAPHIE INDICATIVE</w:t>
      </w:r>
    </w:p>
    <w:p>
      <w:pPr>
        <w:pStyle w:val="ListBullet"/>
      </w:pPr>
      <w:r>
        <w:t>Documents de programmation et rapports sectoriels disponibles auprès des structures concernées.</w:t>
      </w:r>
    </w:p>
    <w:p>
      <w:pPr>
        <w:pStyle w:val="ListBullet"/>
      </w:pPr>
      <w:r>
        <w:t>Données administratives et bases statistiques utilisées pour le cadrage de l’étude.</w:t>
      </w:r>
    </w:p>
    <w:p>
      <w:pPr>
        <w:pStyle w:val="ListBullet"/>
      </w:pPr>
      <w:r>
        <w:t>Rapports de missions, études antérieures et documents techniques consultés.</w:t>
      </w:r>
    </w:p>
    <w:p>
      <w:pPr>
        <w:pStyle w:val="Heading1"/>
      </w:pPr>
      <w:r>
        <w:t>ANNEXES</w:t>
      </w:r>
    </w:p>
    <w:p>
      <w:r>
        <w:t>Annexe A : Outil de collecte synthétique.</w:t>
      </w:r>
    </w:p>
    <w:p>
      <w:r>
        <w:t>Annexe B : Tableau complémentaire des indicateurs.</w:t>
      </w:r>
    </w:p>
    <w:p>
      <w:r>
        <w:t>Annexe C : Guide d’entretien et liste indicative des catégories d’acteurs rencontrés.</w:t>
      </w:r>
    </w:p>
    <w:p>
      <w:r>
        <w:t>Document fictif généré pour tester la détection de doublons, de copies littérales, de paraphrases et de faux positifs.</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Corpus synthétique — usage expérimental uniquement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sz w:val="16"/>
      </w:rPr>
      <w:t>DOCUMENT FICTIF — CORPUS DE TEST DU DÉTECTEUR DE PLAGIAT ET DE DOUBLON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