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 la participation citoyenne dans la planification communale</w:t>
      </w:r>
    </w:p>
    <w:p>
      <w:pPr>
        <w:jc w:val="center"/>
      </w:pPr>
      <w:r>
        <w:rPr>
          <w:i/>
          <w:sz w:val="22"/>
        </w:rPr>
        <w:t>Termes de références pour une étude sur concertation, budget communal, redevabilité, inclusion, avec une attention particulière aux écarts entre les communes</w:t>
      </w:r>
    </w:p>
    <w:p>
      <w:pPr>
        <w:jc w:val="center"/>
      </w:pPr>
      <w:r>
        <w:rPr>
          <w:sz w:val="20"/>
        </w:rPr>
        <w:br/>
        <w:t>Référence : TDR-GOU-058</w:t>
        <w:br/>
        <w:t>Année : 2026</w:t>
      </w:r>
    </w:p>
    <w:p>
      <w:r>
        <w:br w:type="page"/>
      </w:r>
    </w:p>
    <w:p>
      <w:pPr>
        <w:pStyle w:val="Heading1"/>
      </w:pPr>
      <w:r>
        <w:t>1. Contexte et justification</w:t>
      </w:r>
    </w:p>
    <w:p>
      <w:r>
        <w:t>Dans le cadre de l’amélioration de la programmation des interventions publiques et de l’appui aux acteurs locaux, Service régional de la planification envisage la réalisation d’une étude portant sur concertation, budget communal, redevabilité, inclusion, avec une attention particulière aux écarts entre les communes. La mission concerne prioritairement les zones suivantes : Centre-Ouest, Boulkiemdé, Sanguié.</w:t>
      </w:r>
    </w:p>
    <w:p>
      <w:r>
        <w:t>Les évolutions observées dans le secteur de gouvernance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concertation, budget communal, redevabilité, inclusion,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concertation, budget communal, redevabilité, inclusion, avec une attention particulière aux écarts entre les communes dans les zones couvertes.</w:t>
      </w:r>
    </w:p>
    <w:p>
      <w:pPr>
        <w:pStyle w:val="ListNumber"/>
      </w:pPr>
      <w:r>
        <w:t>Identifier les principaux facteurs qui influencent l’accès, la qualité ou la performance des interventions liées à concertation, budget communal, redevabilité, inclusion,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Boulkiemdé, Sanguié.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concertation, budget communal, redevabilité, inclusion,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