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climat dans les zones prioritaires</w:t>
      </w:r>
    </w:p>
    <w:p>
      <w:pPr>
        <w:jc w:val="center"/>
      </w:pPr>
      <w:r>
        <w:rPr>
          <w:i/>
          <w:sz w:val="22"/>
        </w:rPr>
        <w:t>Termes de références pour une étude sur planification, suivi et coordination des interventions en climat</w:t>
      </w:r>
    </w:p>
    <w:p>
      <w:pPr>
        <w:jc w:val="center"/>
      </w:pPr>
      <w:r>
        <w:rPr>
          <w:sz w:val="20"/>
        </w:rPr>
        <w:br/>
        <w:t>Référence : TDR-CLI-117</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planification, suivi et coordination des interventions en climat. La mission concerne prioritairement les zones suivantes : Sahel, Yagha, Seno.</w:t>
      </w:r>
    </w:p>
    <w:p>
      <w:r>
        <w:t>Les évolutions observées dans le secteur de climat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climat,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climat dans les zones couvertes.</w:t>
      </w:r>
    </w:p>
    <w:p>
      <w:pPr>
        <w:pStyle w:val="ListNumber"/>
      </w:pPr>
      <w:r>
        <w:t>Identifier les principaux facteurs qui influencent l’accès, la qualité ou la performance des interventions liées à planification, suivi et coordination des interventions en climat.</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Sahel, Yagha, Seno.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climat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