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sur l’accès des femmes aux ressources productives et aux services financiers</w:t>
      </w:r>
    </w:p>
    <w:p>
      <w:pPr>
        <w:jc w:val="center"/>
      </w:pPr>
      <w:r>
        <w:rPr>
          <w:i/>
          <w:sz w:val="22"/>
        </w:rPr>
        <w:t>Termes de références pour une étude sur foncier, crédit, épargne, autonomisation</w:t>
      </w:r>
    </w:p>
    <w:p>
      <w:pPr>
        <w:jc w:val="center"/>
      </w:pPr>
      <w:r>
        <w:rPr>
          <w:sz w:val="20"/>
        </w:rPr>
        <w:br/>
        <w:t>Référence : TDR-GEN-018</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foncier, crédit, épargne, autonomisation. La mission concerne prioritairement les zones suivantes : Centre-Est, Koulpélogo, Tenkodogo.</w:t>
      </w:r>
    </w:p>
    <w:p>
      <w:r>
        <w:t>Les évolutions observées dans le secteur de genre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foncier, crédit, épargne, autonomisation, afin d’orienter la programmation et les décisions des acteurs concernés.</w:t>
      </w:r>
    </w:p>
    <w:p>
      <w:pPr>
        <w:pStyle w:val="Heading2"/>
      </w:pPr>
      <w:r>
        <w:t>2.2 Objectifs spécifiques</w:t>
      </w:r>
    </w:p>
    <w:p>
      <w:pPr>
        <w:pStyle w:val="ListNumber"/>
      </w:pPr>
      <w:r>
        <w:t>Décrire la situation actuelle concernant foncier, crédit, épargne, autonomisation dans les zones couvertes.</w:t>
      </w:r>
    </w:p>
    <w:p>
      <w:pPr>
        <w:pStyle w:val="ListNumber"/>
      </w:pPr>
      <w:r>
        <w:t>Identifier les principaux facteurs qui influencent l’accès, la qualité ou la performance des interventions liées à foncier, crédit, épargne, autonomisation.</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Centre-Est, Koulpélogo, Tenkodogo.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foncier, crédit, épargne, autonomisation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