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Étude sur l’accès durable à l’eau potable dans les centres secondaires du Nord</w:t>
      </w:r>
    </w:p>
    <w:p>
      <w:pPr>
        <w:jc w:val="center"/>
      </w:pPr>
      <w:r>
        <w:rPr>
          <w:i/>
          <w:sz w:val="22"/>
        </w:rPr>
        <w:t>Rapport d’étude fictif sur adduction d’eau, bornes-fontaines, maintenance, gouvernance</w:t>
      </w:r>
    </w:p>
    <w:p>
      <w:pPr>
        <w:jc w:val="center"/>
      </w:pPr>
      <w:r>
        <w:rPr>
          <w:sz w:val="20"/>
        </w:rPr>
        <w:br/>
        <w:t>Référence : RAP-HYD-002</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adduction d’eau, bornes-fontaines, maintenance, gouvernance dans les zones de Nord, Yatenga, Loroum.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adduction d’eau, bornes-fontaines, maintenance, gouvernance.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adduction d’eau, bornes-fontaines, maintenance, gouvernance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adduction d’eau, bornes-fontaines, maintenance, gouvernance,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Nord, Yatenga, Loroum.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457</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192</w:t>
            </w:r>
          </w:p>
        </w:tc>
        <w:tc>
          <w:tcPr>
            <w:tcW w:type="dxa" w:w="3312"/>
            <w:vAlign w:val="center"/>
          </w:tcPr>
          <w:p>
            <w:r/>
            <w:r>
              <w:rPr>
                <w:b w:val="0"/>
                <w:sz w:val="18"/>
              </w:rPr>
              <w:t>42,0</w:t>
            </w:r>
          </w:p>
        </w:tc>
      </w:tr>
      <w:tr>
        <w:tc>
          <w:tcPr>
            <w:tcW w:type="dxa" w:w="3312"/>
            <w:vAlign w:val="center"/>
          </w:tcPr>
          <w:p>
            <w:r/>
            <w:r>
              <w:rPr>
                <w:b w:val="0"/>
                <w:sz w:val="18"/>
              </w:rPr>
              <w:t>Zone rurale</w:t>
            </w:r>
          </w:p>
        </w:tc>
        <w:tc>
          <w:tcPr>
            <w:tcW w:type="dxa" w:w="3312"/>
            <w:vAlign w:val="center"/>
          </w:tcPr>
          <w:p>
            <w:r/>
            <w:r>
              <w:rPr>
                <w:b w:val="0"/>
                <w:sz w:val="18"/>
              </w:rPr>
              <w:t>265</w:t>
            </w:r>
          </w:p>
        </w:tc>
        <w:tc>
          <w:tcPr>
            <w:tcW w:type="dxa" w:w="3312"/>
            <w:vAlign w:val="center"/>
          </w:tcPr>
          <w:p>
            <w:r/>
            <w:r>
              <w:rPr>
                <w:b w:val="0"/>
                <w:sz w:val="18"/>
              </w:rPr>
              <w:t>58,0</w:t>
            </w:r>
          </w:p>
        </w:tc>
      </w:tr>
      <w:tr>
        <w:tc>
          <w:tcPr>
            <w:tcW w:type="dxa" w:w="3312"/>
            <w:vAlign w:val="center"/>
          </w:tcPr>
          <w:p>
            <w:r/>
            <w:r>
              <w:rPr>
                <w:b w:val="0"/>
                <w:sz w:val="18"/>
              </w:rPr>
              <w:t>Femmes / unités dirigées par une femme</w:t>
            </w:r>
          </w:p>
        </w:tc>
        <w:tc>
          <w:tcPr>
            <w:tcW w:type="dxa" w:w="3312"/>
            <w:vAlign w:val="center"/>
          </w:tcPr>
          <w:p>
            <w:r/>
            <w:r>
              <w:rPr>
                <w:b w:val="0"/>
                <w:sz w:val="18"/>
              </w:rPr>
              <w:t>197</w:t>
            </w:r>
          </w:p>
        </w:tc>
        <w:tc>
          <w:tcPr>
            <w:tcW w:type="dxa" w:w="3312"/>
            <w:vAlign w:val="center"/>
          </w:tcPr>
          <w:p>
            <w:r/>
            <w:r>
              <w:rPr>
                <w:b w:val="0"/>
                <w:sz w:val="18"/>
              </w:rPr>
              <w:t>43,0</w:t>
            </w:r>
          </w:p>
        </w:tc>
      </w:tr>
    </w:tbl>
    <w:p/>
    <w:p>
      <w:pPr>
        <w:pStyle w:val="Heading1"/>
      </w:pPr>
      <w:r>
        <w:t>IV. ANALYSE DES PRINCIPAUX RÉSULTATS</w:t>
      </w:r>
    </w:p>
    <w:p>
      <w:pPr>
        <w:pStyle w:val="Heading2"/>
      </w:pPr>
      <w:r>
        <w:t>IV.1. Situation générale</w:t>
      </w:r>
    </w:p>
    <w:p>
      <w:r>
        <w:t>Les données recueillies montrent que la situation concernant adduction d’eau, bornes-fontaines, maintenance, gouvernance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25</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22</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adduction d’eau, bornes-fontaines, maintenance, gouvernance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adduction d’eau, bornes-fontaines, maintenance, gouvernance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