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Étude sur l’insertion professionnelle des jeunes formés aux métiers techniques</w:t>
      </w:r>
    </w:p>
    <w:p>
      <w:pPr>
        <w:jc w:val="center"/>
      </w:pPr>
      <w:r>
        <w:rPr>
          <w:i/>
          <w:sz w:val="22"/>
        </w:rPr>
        <w:t>Rapport d’étude fictif sur formation professionnelle, apprentissage, emploi, entrepreneuriat</w:t>
      </w:r>
    </w:p>
    <w:p>
      <w:pPr>
        <w:jc w:val="center"/>
      </w:pPr>
      <w:r>
        <w:rPr>
          <w:sz w:val="20"/>
        </w:rPr>
        <w:br/>
        <w:t>Référence : RAP-EMP-010</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formation professionnelle, apprentissage, emploi, entrepreneuriat dans les zones de Hauts-Bassins, Houet, Kénédougou.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formation professionnelle, apprentissage, emploi, entrepreneuriat.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formation professionnelle, apprentissage, emploi, entrepreneuriat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formation professionnelle, apprentissage, emploi, entrepreneuriat,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Hauts-Bassins, Houet, Kénédougou.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753</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286</w:t>
            </w:r>
          </w:p>
        </w:tc>
        <w:tc>
          <w:tcPr>
            <w:tcW w:type="dxa" w:w="3312"/>
            <w:vAlign w:val="center"/>
          </w:tcPr>
          <w:p>
            <w:r/>
            <w:r>
              <w:rPr>
                <w:b w:val="0"/>
                <w:sz w:val="18"/>
              </w:rPr>
              <w:t>38,0</w:t>
            </w:r>
          </w:p>
        </w:tc>
      </w:tr>
      <w:tr>
        <w:tc>
          <w:tcPr>
            <w:tcW w:type="dxa" w:w="3312"/>
            <w:vAlign w:val="center"/>
          </w:tcPr>
          <w:p>
            <w:r/>
            <w:r>
              <w:rPr>
                <w:b w:val="0"/>
                <w:sz w:val="18"/>
              </w:rPr>
              <w:t>Zone rurale</w:t>
            </w:r>
          </w:p>
        </w:tc>
        <w:tc>
          <w:tcPr>
            <w:tcW w:type="dxa" w:w="3312"/>
            <w:vAlign w:val="center"/>
          </w:tcPr>
          <w:p>
            <w:r/>
            <w:r>
              <w:rPr>
                <w:b w:val="0"/>
                <w:sz w:val="18"/>
              </w:rPr>
              <w:t>467</w:t>
            </w:r>
          </w:p>
        </w:tc>
        <w:tc>
          <w:tcPr>
            <w:tcW w:type="dxa" w:w="3312"/>
            <w:vAlign w:val="center"/>
          </w:tcPr>
          <w:p>
            <w:r/>
            <w:r>
              <w:rPr>
                <w:b w:val="0"/>
                <w:sz w:val="18"/>
              </w:rPr>
              <w:t>62,0</w:t>
            </w:r>
          </w:p>
        </w:tc>
      </w:tr>
      <w:tr>
        <w:tc>
          <w:tcPr>
            <w:tcW w:type="dxa" w:w="3312"/>
            <w:vAlign w:val="center"/>
          </w:tcPr>
          <w:p>
            <w:r/>
            <w:r>
              <w:rPr>
                <w:b w:val="0"/>
                <w:sz w:val="18"/>
              </w:rPr>
              <w:t>Femmes / unités dirigées par une femme</w:t>
            </w:r>
          </w:p>
        </w:tc>
        <w:tc>
          <w:tcPr>
            <w:tcW w:type="dxa" w:w="3312"/>
            <w:vAlign w:val="center"/>
          </w:tcPr>
          <w:p>
            <w:r/>
            <w:r>
              <w:rPr>
                <w:b w:val="0"/>
                <w:sz w:val="18"/>
              </w:rPr>
              <w:t>384</w:t>
            </w:r>
          </w:p>
        </w:tc>
        <w:tc>
          <w:tcPr>
            <w:tcW w:type="dxa" w:w="3312"/>
            <w:vAlign w:val="center"/>
          </w:tcPr>
          <w:p>
            <w:r/>
            <w:r>
              <w:rPr>
                <w:b w:val="0"/>
                <w:sz w:val="18"/>
              </w:rPr>
              <w:t>51,0</w:t>
            </w:r>
          </w:p>
        </w:tc>
      </w:tr>
    </w:tbl>
    <w:p/>
    <w:p>
      <w:pPr>
        <w:pStyle w:val="Heading1"/>
      </w:pPr>
      <w:r>
        <w:t>IV. ANALYSE DES PRINCIPAUX RÉSULTATS</w:t>
      </w:r>
    </w:p>
    <w:p>
      <w:pPr>
        <w:pStyle w:val="Heading2"/>
      </w:pPr>
      <w:r>
        <w:t>IV.1. Situation générale</w:t>
      </w:r>
    </w:p>
    <w:p>
      <w:r>
        <w:t>Les données recueillies montrent que la situation concernant formation professionnelle, apprentissage, emploi, entrepreneuriat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24</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formation professionnelle, apprentissage, emploi, entrepreneuriat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formation professionnelle, apprentissage, emploi, entrepreneuriat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