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Rapport d’étude : Évaluation des stratégies de subsistance des ménages vulnérables</w:t>
      </w:r>
    </w:p>
    <w:p>
      <w:pPr>
        <w:jc w:val="center"/>
      </w:pPr>
      <w:r>
        <w:rPr>
          <w:i/>
          <w:sz w:val="22"/>
        </w:rPr>
        <w:t>Rapport d’étude fictif sur revenus, consommation, endettement, assistance</w:t>
      </w:r>
    </w:p>
    <w:p>
      <w:pPr>
        <w:jc w:val="center"/>
      </w:pPr>
      <w:r>
        <w:rPr>
          <w:sz w:val="20"/>
        </w:rPr>
        <w:br/>
        <w:t>Référence : RAP-SÉC-019</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bl>
    <w:p/>
    <w:p>
      <w:pPr>
        <w:pStyle w:val="Heading1"/>
      </w:pPr>
      <w:r>
        <w:t>RÉSUMÉ EXÉCUTIF</w:t>
      </w:r>
    </w:p>
    <w:p>
      <w:r>
        <w:t>Cette étude porte sur revenus, consommation, endettement, assistance dans les zones de Est, Tapoa, Fada.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revenus, consommation, endettement, assistance.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revenus, consommation, endettement, assistance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revenus, consommation, endettement, assistance,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Est, Tapoa, Fada.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706</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289</w:t>
            </w:r>
          </w:p>
        </w:tc>
        <w:tc>
          <w:tcPr>
            <w:tcW w:type="dxa" w:w="3312"/>
            <w:vAlign w:val="center"/>
          </w:tcPr>
          <w:p>
            <w:r/>
            <w:r>
              <w:rPr>
                <w:b w:val="0"/>
                <w:sz w:val="18"/>
              </w:rPr>
              <w:t>41,0</w:t>
            </w:r>
          </w:p>
        </w:tc>
      </w:tr>
      <w:tr>
        <w:tc>
          <w:tcPr>
            <w:tcW w:type="dxa" w:w="3312"/>
            <w:vAlign w:val="center"/>
          </w:tcPr>
          <w:p>
            <w:r/>
            <w:r>
              <w:rPr>
                <w:b w:val="0"/>
                <w:sz w:val="18"/>
              </w:rPr>
              <w:t>Zone rurale</w:t>
            </w:r>
          </w:p>
        </w:tc>
        <w:tc>
          <w:tcPr>
            <w:tcW w:type="dxa" w:w="3312"/>
            <w:vAlign w:val="center"/>
          </w:tcPr>
          <w:p>
            <w:r/>
            <w:r>
              <w:rPr>
                <w:b w:val="0"/>
                <w:sz w:val="18"/>
              </w:rPr>
              <w:t>417</w:t>
            </w:r>
          </w:p>
        </w:tc>
        <w:tc>
          <w:tcPr>
            <w:tcW w:type="dxa" w:w="3312"/>
            <w:vAlign w:val="center"/>
          </w:tcPr>
          <w:p>
            <w:r/>
            <w:r>
              <w:rPr>
                <w:b w:val="0"/>
                <w:sz w:val="18"/>
              </w:rPr>
              <w:t>59,0</w:t>
            </w:r>
          </w:p>
        </w:tc>
      </w:tr>
      <w:tr>
        <w:tc>
          <w:tcPr>
            <w:tcW w:type="dxa" w:w="3312"/>
            <w:vAlign w:val="center"/>
          </w:tcPr>
          <w:p>
            <w:r/>
            <w:r>
              <w:rPr>
                <w:b w:val="0"/>
                <w:sz w:val="18"/>
              </w:rPr>
              <w:t>Femmes / unités dirigées par une femme</w:t>
            </w:r>
          </w:p>
        </w:tc>
        <w:tc>
          <w:tcPr>
            <w:tcW w:type="dxa" w:w="3312"/>
            <w:vAlign w:val="center"/>
          </w:tcPr>
          <w:p>
            <w:r/>
            <w:r>
              <w:rPr>
                <w:b w:val="0"/>
                <w:sz w:val="18"/>
              </w:rPr>
              <w:t>339</w:t>
            </w:r>
          </w:p>
        </w:tc>
        <w:tc>
          <w:tcPr>
            <w:tcW w:type="dxa" w:w="3312"/>
            <w:vAlign w:val="center"/>
          </w:tcPr>
          <w:p>
            <w:r/>
            <w:r>
              <w:rPr>
                <w:b w:val="0"/>
                <w:sz w:val="18"/>
              </w:rPr>
              <w:t>48,0</w:t>
            </w:r>
          </w:p>
        </w:tc>
      </w:tr>
    </w:tbl>
    <w:p/>
    <w:p>
      <w:pPr>
        <w:pStyle w:val="Heading1"/>
      </w:pPr>
      <w:r>
        <w:t>IV. ANALYSE DES PRINCIPAUX RÉSULTATS</w:t>
      </w:r>
    </w:p>
    <w:p>
      <w:pPr>
        <w:pStyle w:val="Heading2"/>
      </w:pPr>
      <w:r>
        <w:t>IV.1. Situation générale</w:t>
      </w:r>
    </w:p>
    <w:p>
      <w:r>
        <w:t>Les données recueillies montrent que la situation concernant revenus, consommation, endettement, assistance reste contrastée selon les zones. Les unités les mieux desservies disposent généralement de ressources plus régulières, tandis que les zones périphériques font davantage face à des contraintes d’accès, de financement ou de maintenance.</w:t>
      </w:r>
    </w:p>
    <w:p>
      <w:r>
        <w:t>Les entretiens indiquent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68</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26</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6</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revenus, consommation, endettement, assistance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revenus, consommation, endettement, assistance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