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de suivi : Diagnostic des besoins énergétiques des infrastructures communautaires</w:t>
      </w:r>
    </w:p>
    <w:p>
      <w:pPr>
        <w:jc w:val="center"/>
      </w:pPr>
      <w:r>
        <w:rPr>
          <w:i/>
          <w:sz w:val="22"/>
        </w:rPr>
        <w:t>Rapport d’étude fictif sur éclairage solaire, coûts énergétiques, maintenance, autonomie</w:t>
      </w:r>
    </w:p>
    <w:p>
      <w:pPr>
        <w:jc w:val="center"/>
      </w:pPr>
      <w:r>
        <w:rPr>
          <w:sz w:val="20"/>
        </w:rPr>
        <w:br/>
        <w:t>Référence : RAP-ÉNE-056</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bl>
    <w:p/>
    <w:p>
      <w:pPr>
        <w:pStyle w:val="Heading1"/>
      </w:pPr>
      <w:r>
        <w:t>RÉSUMÉ EXÉCUTIF</w:t>
      </w:r>
    </w:p>
    <w:p>
      <w:r>
        <w:t>Cette étude porte sur éclairage solaire, coûts énergétiques, maintenance, autonomie dans les zones de Est, Gourma, Komondjari.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éclairage solaire, coûts énergétiques, maintenance, autonomie.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éclairage solaire, coûts énergétiques, maintenance, autonomie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éclairage solaire, coûts énergétiques, maintenance, autonomie,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Est, Gourma, Komondjari.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555</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333</w:t>
            </w:r>
          </w:p>
        </w:tc>
        <w:tc>
          <w:tcPr>
            <w:tcW w:type="dxa" w:w="3312"/>
            <w:vAlign w:val="center"/>
          </w:tcPr>
          <w:p>
            <w:r/>
            <w:r>
              <w:rPr>
                <w:b w:val="0"/>
                <w:sz w:val="18"/>
              </w:rPr>
              <w:t>60,0</w:t>
            </w:r>
          </w:p>
        </w:tc>
      </w:tr>
      <w:tr>
        <w:tc>
          <w:tcPr>
            <w:tcW w:type="dxa" w:w="3312"/>
            <w:vAlign w:val="center"/>
          </w:tcPr>
          <w:p>
            <w:r/>
            <w:r>
              <w:rPr>
                <w:b w:val="0"/>
                <w:sz w:val="18"/>
              </w:rPr>
              <w:t>Zone rurale</w:t>
            </w:r>
          </w:p>
        </w:tc>
        <w:tc>
          <w:tcPr>
            <w:tcW w:type="dxa" w:w="3312"/>
            <w:vAlign w:val="center"/>
          </w:tcPr>
          <w:p>
            <w:r/>
            <w:r>
              <w:rPr>
                <w:b w:val="0"/>
                <w:sz w:val="18"/>
              </w:rPr>
              <w:t>222</w:t>
            </w:r>
          </w:p>
        </w:tc>
        <w:tc>
          <w:tcPr>
            <w:tcW w:type="dxa" w:w="3312"/>
            <w:vAlign w:val="center"/>
          </w:tcPr>
          <w:p>
            <w:r/>
            <w:r>
              <w:rPr>
                <w:b w:val="0"/>
                <w:sz w:val="18"/>
              </w:rPr>
              <w:t>40,0</w:t>
            </w:r>
          </w:p>
        </w:tc>
      </w:tr>
      <w:tr>
        <w:tc>
          <w:tcPr>
            <w:tcW w:type="dxa" w:w="3312"/>
            <w:vAlign w:val="center"/>
          </w:tcPr>
          <w:p>
            <w:r/>
            <w:r>
              <w:rPr>
                <w:b w:val="0"/>
                <w:sz w:val="18"/>
              </w:rPr>
              <w:t>Femmes / unités dirigées par une femme</w:t>
            </w:r>
          </w:p>
        </w:tc>
        <w:tc>
          <w:tcPr>
            <w:tcW w:type="dxa" w:w="3312"/>
            <w:vAlign w:val="center"/>
          </w:tcPr>
          <w:p>
            <w:r/>
            <w:r>
              <w:rPr>
                <w:b w:val="0"/>
                <w:sz w:val="18"/>
              </w:rPr>
              <w:t>272</w:t>
            </w:r>
          </w:p>
        </w:tc>
        <w:tc>
          <w:tcPr>
            <w:tcW w:type="dxa" w:w="3312"/>
            <w:vAlign w:val="center"/>
          </w:tcPr>
          <w:p>
            <w:r/>
            <w:r>
              <w:rPr>
                <w:b w:val="0"/>
                <w:sz w:val="18"/>
              </w:rPr>
              <w:t>49,0</w:t>
            </w:r>
          </w:p>
        </w:tc>
      </w:tr>
    </w:tbl>
    <w:p/>
    <w:p>
      <w:pPr>
        <w:pStyle w:val="Heading1"/>
      </w:pPr>
      <w:r>
        <w:t>IV. ANALYSE DES PRINCIPAUX RÉSULTATS</w:t>
      </w:r>
    </w:p>
    <w:p>
      <w:pPr>
        <w:pStyle w:val="Heading2"/>
      </w:pPr>
      <w:r>
        <w:t>IV.1. Situation générale</w:t>
      </w:r>
    </w:p>
    <w:p>
      <w:r>
        <w:t>Les données recueillies montrent que la situation concernant éclairage solaire, coûts énergétiques, maintenance, autonomie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78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37</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-15</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éclairage solaire, coûts énergétiques, maintenance, autonomie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éclairage solaire, coûts énergétiques, maintenance, autonomie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