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Étude de faisabilité d’un dispositif de services administratifs numériques communaux</w:t>
      </w:r>
    </w:p>
    <w:p>
      <w:pPr>
        <w:jc w:val="center"/>
      </w:pPr>
      <w:r>
        <w:rPr>
          <w:i/>
          <w:sz w:val="22"/>
        </w:rPr>
        <w:t>Rapport d’étude fictif sur dématérialisation, connectivité, archivage, accompagnement des usagers</w:t>
      </w:r>
    </w:p>
    <w:p>
      <w:pPr>
        <w:jc w:val="center"/>
      </w:pPr>
      <w:r>
        <w:rPr>
          <w:sz w:val="20"/>
        </w:rPr>
        <w:br/>
        <w:t>Référence : RAP-NUM-057</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dématérialisation, connectivité, archivage, accompagnement des usagers dans les zones de Centre, Kadiogo, Oubritenga.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dématérialisation, connectivité, archivage, accompagnement des usagers.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dématérialisation, connectivité, archivage, accompagnement des usagers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dématérialisation, connectivité, archivage, accompagnement des usagers,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 Kadiogo, Oubritenga.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592</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219</w:t>
            </w:r>
          </w:p>
        </w:tc>
        <w:tc>
          <w:tcPr>
            <w:tcW w:type="dxa" w:w="3312"/>
            <w:vAlign w:val="center"/>
          </w:tcPr>
          <w:p>
            <w:r/>
            <w:r>
              <w:rPr>
                <w:b w:val="0"/>
                <w:sz w:val="18"/>
              </w:rPr>
              <w:t>37,0</w:t>
            </w:r>
          </w:p>
        </w:tc>
      </w:tr>
      <w:tr>
        <w:tc>
          <w:tcPr>
            <w:tcW w:type="dxa" w:w="3312"/>
            <w:vAlign w:val="center"/>
          </w:tcPr>
          <w:p>
            <w:r/>
            <w:r>
              <w:rPr>
                <w:b w:val="0"/>
                <w:sz w:val="18"/>
              </w:rPr>
              <w:t>Zone rurale</w:t>
            </w:r>
          </w:p>
        </w:tc>
        <w:tc>
          <w:tcPr>
            <w:tcW w:type="dxa" w:w="3312"/>
            <w:vAlign w:val="center"/>
          </w:tcPr>
          <w:p>
            <w:r/>
            <w:r>
              <w:rPr>
                <w:b w:val="0"/>
                <w:sz w:val="18"/>
              </w:rPr>
              <w:t>373</w:t>
            </w:r>
          </w:p>
        </w:tc>
        <w:tc>
          <w:tcPr>
            <w:tcW w:type="dxa" w:w="3312"/>
            <w:vAlign w:val="center"/>
          </w:tcPr>
          <w:p>
            <w:r/>
            <w:r>
              <w:rPr>
                <w:b w:val="0"/>
                <w:sz w:val="18"/>
              </w:rPr>
              <w:t>63,0</w:t>
            </w:r>
          </w:p>
        </w:tc>
      </w:tr>
      <w:tr>
        <w:tc>
          <w:tcPr>
            <w:tcW w:type="dxa" w:w="3312"/>
            <w:vAlign w:val="center"/>
          </w:tcPr>
          <w:p>
            <w:r/>
            <w:r>
              <w:rPr>
                <w:b w:val="0"/>
                <w:sz w:val="18"/>
              </w:rPr>
              <w:t>Femmes / unités dirigées par une femme</w:t>
            </w:r>
          </w:p>
        </w:tc>
        <w:tc>
          <w:tcPr>
            <w:tcW w:type="dxa" w:w="3312"/>
            <w:vAlign w:val="center"/>
          </w:tcPr>
          <w:p>
            <w:r/>
            <w:r>
              <w:rPr>
                <w:b w:val="0"/>
                <w:sz w:val="18"/>
              </w:rPr>
              <w:t>296</w:t>
            </w:r>
          </w:p>
        </w:tc>
        <w:tc>
          <w:tcPr>
            <w:tcW w:type="dxa" w:w="3312"/>
            <w:vAlign w:val="center"/>
          </w:tcPr>
          <w:p>
            <w:r/>
            <w:r>
              <w:rPr>
                <w:b w:val="0"/>
                <w:sz w:val="18"/>
              </w:rPr>
              <w:t>50,0</w:t>
            </w:r>
          </w:p>
        </w:tc>
      </w:tr>
    </w:tbl>
    <w:p/>
    <w:p>
      <w:pPr>
        <w:pStyle w:val="Heading1"/>
      </w:pPr>
      <w:r>
        <w:t>IV. ANALYSE DES PRINCIPAUX RÉSULTATS</w:t>
      </w:r>
    </w:p>
    <w:p>
      <w:pPr>
        <w:pStyle w:val="Heading2"/>
      </w:pPr>
      <w:r>
        <w:t>IV.1. Situation générale</w:t>
      </w:r>
    </w:p>
    <w:p>
      <w:r>
        <w:t>Les données recueillies montrent que la situation concernant dématérialisation, connectivité, archivage, accompagnement des usagers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48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40</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12</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dématérialisation, connectivité, archivage, accompagnement des usagers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dématérialisation, connectivité, archivage, accompagnement des usagers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