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Étude des pratiques alimentaires et de la vulnérabilité nutritionnelle des ménages</w:t>
      </w:r>
    </w:p>
    <w:p>
      <w:pPr>
        <w:jc w:val="center"/>
      </w:pPr>
      <w:r>
        <w:rPr>
          <w:i/>
          <w:sz w:val="22"/>
        </w:rPr>
        <w:t>Rapport d’étude fictif sur diversité alimentaire, pratiques de soins, accès aux aliments</w:t>
      </w:r>
    </w:p>
    <w:p>
      <w:pPr>
        <w:jc w:val="center"/>
      </w:pPr>
      <w:r>
        <w:rPr>
          <w:sz w:val="20"/>
        </w:rPr>
        <w:br/>
        <w:t>Référence : RAP-NUT-063</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diversité alimentaire, pratiques de soins, accès aux aliments dans les zones de Centre-Nord, Bam, Sanmatenga.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diversité alimentaire, pratiques de soins, accès aux aliments.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diversité alimentaire, pratiques de soins, accès aux aliments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diversité alimentaire, pratiques de soins, accès aux aliments,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Centre-Nord, Bam, Sanmatenga.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434</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213</w:t>
            </w:r>
          </w:p>
        </w:tc>
        <w:tc>
          <w:tcPr>
            <w:tcW w:type="dxa" w:w="3312"/>
            <w:vAlign w:val="center"/>
          </w:tcPr>
          <w:p>
            <w:r/>
            <w:r>
              <w:rPr>
                <w:b w:val="0"/>
                <w:sz w:val="18"/>
              </w:rPr>
              <w:t>49,0</w:t>
            </w:r>
          </w:p>
        </w:tc>
      </w:tr>
      <w:tr>
        <w:tc>
          <w:tcPr>
            <w:tcW w:type="dxa" w:w="3312"/>
            <w:vAlign w:val="center"/>
          </w:tcPr>
          <w:p>
            <w:r/>
            <w:r>
              <w:rPr>
                <w:b w:val="0"/>
                <w:sz w:val="18"/>
              </w:rPr>
              <w:t>Zone rurale</w:t>
            </w:r>
          </w:p>
        </w:tc>
        <w:tc>
          <w:tcPr>
            <w:tcW w:type="dxa" w:w="3312"/>
            <w:vAlign w:val="center"/>
          </w:tcPr>
          <w:p>
            <w:r/>
            <w:r>
              <w:rPr>
                <w:b w:val="0"/>
                <w:sz w:val="18"/>
              </w:rPr>
              <w:t>221</w:t>
            </w:r>
          </w:p>
        </w:tc>
        <w:tc>
          <w:tcPr>
            <w:tcW w:type="dxa" w:w="3312"/>
            <w:vAlign w:val="center"/>
          </w:tcPr>
          <w:p>
            <w:r/>
            <w:r>
              <w:rPr>
                <w:b w:val="0"/>
                <w:sz w:val="18"/>
              </w:rPr>
              <w:t>51,0</w:t>
            </w:r>
          </w:p>
        </w:tc>
      </w:tr>
      <w:tr>
        <w:tc>
          <w:tcPr>
            <w:tcW w:type="dxa" w:w="3312"/>
            <w:vAlign w:val="center"/>
          </w:tcPr>
          <w:p>
            <w:r/>
            <w:r>
              <w:rPr>
                <w:b w:val="0"/>
                <w:sz w:val="18"/>
              </w:rPr>
              <w:t>Femmes / unités dirigées par une femme</w:t>
            </w:r>
          </w:p>
        </w:tc>
        <w:tc>
          <w:tcPr>
            <w:tcW w:type="dxa" w:w="3312"/>
            <w:vAlign w:val="center"/>
          </w:tcPr>
          <w:p>
            <w:r/>
            <w:r>
              <w:rPr>
                <w:b w:val="0"/>
                <w:sz w:val="18"/>
              </w:rPr>
              <w:t>191</w:t>
            </w:r>
          </w:p>
        </w:tc>
        <w:tc>
          <w:tcPr>
            <w:tcW w:type="dxa" w:w="3312"/>
            <w:vAlign w:val="center"/>
          </w:tcPr>
          <w:p>
            <w:r/>
            <w:r>
              <w:rPr>
                <w:b w:val="0"/>
                <w:sz w:val="18"/>
              </w:rPr>
              <w:t>44,0</w:t>
            </w:r>
          </w:p>
        </w:tc>
      </w:tr>
    </w:tbl>
    <w:p/>
    <w:p>
      <w:pPr>
        <w:pStyle w:val="Heading1"/>
      </w:pPr>
      <w:r>
        <w:t>IV. ANALYSE DES PRINCIPAUX RÉSULTATS</w:t>
      </w:r>
    </w:p>
    <w:p>
      <w:pPr>
        <w:pStyle w:val="Heading2"/>
      </w:pPr>
      <w:r>
        <w:t>IV.1. Situation générale</w:t>
      </w:r>
    </w:p>
    <w:p>
      <w:r>
        <w:t>Les données recueillies montrent que la situation concernant diversité alimentaire, pratiques de soins, accès aux aliments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-11</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diversité alimentaire, pratiques de soins, accès aux aliments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diversité alimentaire, pratiques de soins, accès aux aliments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