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Évaluation de la qualité des services de santé maternelle dans les districts ciblés</w:t>
      </w:r>
    </w:p>
    <w:p>
      <w:pPr>
        <w:jc w:val="center"/>
      </w:pPr>
      <w:r>
        <w:rPr>
          <w:i/>
          <w:sz w:val="22"/>
        </w:rPr>
        <w:t>Rapport d’étude fictif sur consultations prénatales, accouchement, référencement, disponibilité des médicaments</w:t>
      </w:r>
    </w:p>
    <w:p>
      <w:pPr>
        <w:jc w:val="center"/>
      </w:pPr>
      <w:r>
        <w:rPr>
          <w:sz w:val="20"/>
        </w:rPr>
        <w:br/>
        <w:t>Référence : RAP-SAN-083</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consultations prénatales, accouchement, référencement, disponibilité des médicaments dans les zones de Centre-Nord, Sanmatenga, Namentenga.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consultations prénatales, accouchement, référencement, disponibilité des médicaments.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consultations prénatales, accouchement, référencement, disponibilité des médicaments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consultations prénatales, accouchement, référencement, disponibilité des médicaments,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Centre-Nord, Sanmatenga, Namentenga.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794</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310</w:t>
            </w:r>
          </w:p>
        </w:tc>
        <w:tc>
          <w:tcPr>
            <w:tcW w:type="dxa" w:w="3312"/>
            <w:vAlign w:val="center"/>
          </w:tcPr>
          <w:p>
            <w:r/>
            <w:r>
              <w:rPr>
                <w:b w:val="0"/>
                <w:sz w:val="18"/>
              </w:rPr>
              <w:t>39,0</w:t>
            </w:r>
          </w:p>
        </w:tc>
      </w:tr>
      <w:tr>
        <w:tc>
          <w:tcPr>
            <w:tcW w:type="dxa" w:w="3312"/>
            <w:vAlign w:val="center"/>
          </w:tcPr>
          <w:p>
            <w:r/>
            <w:r>
              <w:rPr>
                <w:b w:val="0"/>
                <w:sz w:val="18"/>
              </w:rPr>
              <w:t>Zone rurale</w:t>
            </w:r>
          </w:p>
        </w:tc>
        <w:tc>
          <w:tcPr>
            <w:tcW w:type="dxa" w:w="3312"/>
            <w:vAlign w:val="center"/>
          </w:tcPr>
          <w:p>
            <w:r/>
            <w:r>
              <w:rPr>
                <w:b w:val="0"/>
                <w:sz w:val="18"/>
              </w:rPr>
              <w:t>484</w:t>
            </w:r>
          </w:p>
        </w:tc>
        <w:tc>
          <w:tcPr>
            <w:tcW w:type="dxa" w:w="3312"/>
            <w:vAlign w:val="center"/>
          </w:tcPr>
          <w:p>
            <w:r/>
            <w:r>
              <w:rPr>
                <w:b w:val="0"/>
                <w:sz w:val="18"/>
              </w:rPr>
              <w:t>61,0</w:t>
            </w:r>
          </w:p>
        </w:tc>
      </w:tr>
      <w:tr>
        <w:tc>
          <w:tcPr>
            <w:tcW w:type="dxa" w:w="3312"/>
            <w:vAlign w:val="center"/>
          </w:tcPr>
          <w:p>
            <w:r/>
            <w:r>
              <w:rPr>
                <w:b w:val="0"/>
                <w:sz w:val="18"/>
              </w:rPr>
              <w:t>Femmes / unités dirigées par une femme</w:t>
            </w:r>
          </w:p>
        </w:tc>
        <w:tc>
          <w:tcPr>
            <w:tcW w:type="dxa" w:w="3312"/>
            <w:vAlign w:val="center"/>
          </w:tcPr>
          <w:p>
            <w:r/>
            <w:r>
              <w:rPr>
                <w:b w:val="0"/>
                <w:sz w:val="18"/>
              </w:rPr>
              <w:t>413</w:t>
            </w:r>
          </w:p>
        </w:tc>
        <w:tc>
          <w:tcPr>
            <w:tcW w:type="dxa" w:w="3312"/>
            <w:vAlign w:val="center"/>
          </w:tcPr>
          <w:p>
            <w:r/>
            <w:r>
              <w:rPr>
                <w:b w:val="0"/>
                <w:sz w:val="18"/>
              </w:rPr>
              <w:t>52,0</w:t>
            </w:r>
          </w:p>
        </w:tc>
      </w:tr>
    </w:tbl>
    <w:p/>
    <w:p>
      <w:pPr>
        <w:pStyle w:val="Heading1"/>
      </w:pPr>
      <w:r>
        <w:t>IV. ANALYSE DES PRINCIPAUX RÉSULTATS</w:t>
      </w:r>
    </w:p>
    <w:p>
      <w:pPr>
        <w:pStyle w:val="Heading2"/>
      </w:pPr>
      <w:r>
        <w:t>IV.1. Situation générale</w:t>
      </w:r>
    </w:p>
    <w:p>
      <w:r>
        <w:t>Les données recueillies indiquent que la situation concernant consultations prénatales, accouchement, référencement, disponibilité des médicaments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43</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-16</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consultations prénatales, accouchement, référencement, disponibilité des médicaments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consultations prénatales, accouchement, référencement, disponibilité des médicaments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