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de référence sur genre et développement local</w:t>
      </w:r>
    </w:p>
    <w:p>
      <w:pPr>
        <w:jc w:val="center"/>
      </w:pPr>
      <w:r>
        <w:rPr>
          <w:i/>
          <w:sz w:val="22"/>
        </w:rPr>
        <w:t>Rapport d’étude fictif sur foncier, crédit, épargne, autonomisation</w:t>
      </w:r>
    </w:p>
    <w:p>
      <w:pPr>
        <w:jc w:val="center"/>
      </w:pPr>
      <w:r>
        <w:rPr>
          <w:sz w:val="20"/>
        </w:rPr>
        <w:br/>
        <w:t>Référence : RAP-GEN-113</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bl>
    <w:p/>
    <w:p>
      <w:pPr>
        <w:pStyle w:val="Heading1"/>
      </w:pPr>
      <w:r>
        <w:t>RÉSUMÉ EXÉCUTIF</w:t>
      </w:r>
    </w:p>
    <w:p>
      <w:r>
        <w:t>Cette étude porte sur foncier, crédit, épargne, autonomisation dans les zones de Centre-Est, Koulpélogo, Tenkodogo.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foncier, crédit, épargne, autonomisation.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foncier, crédit, épargne, autonomisation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foncier, crédit, épargne, autonomisation,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Centre-Est, Koulpélogo, Tenkodogo.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764</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298</w:t>
            </w:r>
          </w:p>
        </w:tc>
        <w:tc>
          <w:tcPr>
            <w:tcW w:type="dxa" w:w="3312"/>
            <w:vAlign w:val="center"/>
          </w:tcPr>
          <w:p>
            <w:r/>
            <w:r>
              <w:rPr>
                <w:b w:val="0"/>
                <w:sz w:val="18"/>
              </w:rPr>
              <w:t>39,0</w:t>
            </w:r>
          </w:p>
        </w:tc>
      </w:tr>
      <w:tr>
        <w:tc>
          <w:tcPr>
            <w:tcW w:type="dxa" w:w="3312"/>
            <w:vAlign w:val="center"/>
          </w:tcPr>
          <w:p>
            <w:r/>
            <w:r>
              <w:rPr>
                <w:b w:val="0"/>
                <w:sz w:val="18"/>
              </w:rPr>
              <w:t>Zone rurale</w:t>
            </w:r>
          </w:p>
        </w:tc>
        <w:tc>
          <w:tcPr>
            <w:tcW w:type="dxa" w:w="3312"/>
            <w:vAlign w:val="center"/>
          </w:tcPr>
          <w:p>
            <w:r/>
            <w:r>
              <w:rPr>
                <w:b w:val="0"/>
                <w:sz w:val="18"/>
              </w:rPr>
              <w:t>466</w:t>
            </w:r>
          </w:p>
        </w:tc>
        <w:tc>
          <w:tcPr>
            <w:tcW w:type="dxa" w:w="3312"/>
            <w:vAlign w:val="center"/>
          </w:tcPr>
          <w:p>
            <w:r/>
            <w:r>
              <w:rPr>
                <w:b w:val="0"/>
                <w:sz w:val="18"/>
              </w:rPr>
              <w:t>61,0</w:t>
            </w:r>
          </w:p>
        </w:tc>
      </w:tr>
      <w:tr>
        <w:tc>
          <w:tcPr>
            <w:tcW w:type="dxa" w:w="3312"/>
            <w:vAlign w:val="center"/>
          </w:tcPr>
          <w:p>
            <w:r/>
            <w:r>
              <w:rPr>
                <w:b w:val="0"/>
                <w:sz w:val="18"/>
              </w:rPr>
              <w:t>Femmes / unités dirigées par une femme</w:t>
            </w:r>
          </w:p>
        </w:tc>
        <w:tc>
          <w:tcPr>
            <w:tcW w:type="dxa" w:w="3312"/>
            <w:vAlign w:val="center"/>
          </w:tcPr>
          <w:p>
            <w:r/>
            <w:r>
              <w:rPr>
                <w:b w:val="0"/>
                <w:sz w:val="18"/>
              </w:rPr>
              <w:t>351</w:t>
            </w:r>
          </w:p>
        </w:tc>
        <w:tc>
          <w:tcPr>
            <w:tcW w:type="dxa" w:w="3312"/>
            <w:vAlign w:val="center"/>
          </w:tcPr>
          <w:p>
            <w:r/>
            <w:r>
              <w:rPr>
                <w:b w:val="0"/>
                <w:sz w:val="18"/>
              </w:rPr>
              <w:t>46,0</w:t>
            </w:r>
          </w:p>
        </w:tc>
      </w:tr>
    </w:tbl>
    <w:p/>
    <w:p>
      <w:pPr>
        <w:pStyle w:val="Heading1"/>
      </w:pPr>
      <w:r>
        <w:t>IV. ANALYSE DES PRINCIPAUX RÉSULTATS</w:t>
      </w:r>
    </w:p>
    <w:p>
      <w:pPr>
        <w:pStyle w:val="Heading2"/>
      </w:pPr>
      <w:r>
        <w:t>IV.1. Situation générale</w:t>
      </w:r>
    </w:p>
    <w:p>
      <w:r>
        <w:t>Les données recueillies montrent que la situation concernant foncier, crédit, épargne, autonomisation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48</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33</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19</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foncier, crédit, épargne, autonomisation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foncier, crédit, épargne, autonomisation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