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des besoins d’irrigation des petits producteurs maraîchers</w:t>
      </w:r>
    </w:p>
    <w:p>
      <w:pPr>
        <w:jc w:val="center"/>
      </w:pPr>
      <w:r>
        <w:rPr>
          <w:i/>
          <w:sz w:val="22"/>
        </w:rPr>
        <w:t>Termes de références pour une étude sur pompage, irrigation, coûts, gestion des périmètres</w:t>
      </w:r>
    </w:p>
    <w:p>
      <w:pPr>
        <w:jc w:val="center"/>
      </w:pPr>
      <w:r>
        <w:rPr>
          <w:sz w:val="20"/>
        </w:rPr>
        <w:br/>
        <w:t>Référence : TDR-EAU-014</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pompage, irrigation, coûts, gestion des périmètres. La mission concerne prioritairement les zones suivantes : Hauts-Bassins, Kossi, Houet.</w:t>
      </w:r>
    </w:p>
    <w:p>
      <w:r>
        <w:t>Les évolutions observées dans le secteur de eau agricole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pompage, irrigation, coûts, gestion des périmètres, afin d’orienter la programmation et les décisions des acteurs concernés.</w:t>
      </w:r>
    </w:p>
    <w:p>
      <w:pPr>
        <w:pStyle w:val="Heading2"/>
      </w:pPr>
      <w:r>
        <w:t>2.2 Objectifs spécifiques</w:t>
      </w:r>
    </w:p>
    <w:p>
      <w:pPr>
        <w:pStyle w:val="ListNumber"/>
      </w:pPr>
      <w:r>
        <w:t>Décrire la situation actuelle concernant pompage, irrigation, coûts, gestion des périmètres dans les zones couvertes.</w:t>
      </w:r>
    </w:p>
    <w:p>
      <w:pPr>
        <w:pStyle w:val="ListNumber"/>
      </w:pPr>
      <w:r>
        <w:t>Identifier les principaux facteurs qui influencent l’accès, la qualité ou la performance des interventions liées à pompage, irrigation, coûts, gestion des périmètres.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Hauts-Bassins, Kossi, Houet.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pompage, irrigation, coûts, gestion des périmètres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