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eau agricole dans les zones prioritaires</w:t>
      </w:r>
    </w:p>
    <w:p>
      <w:pPr>
        <w:jc w:val="center"/>
      </w:pPr>
      <w:r>
        <w:rPr>
          <w:i/>
          <w:sz w:val="22"/>
        </w:rPr>
        <w:t>Termes de références pour une étude sur planification, suivi et coordination des interventions en eau agricole</w:t>
      </w:r>
    </w:p>
    <w:p>
      <w:pPr>
        <w:jc w:val="center"/>
      </w:pPr>
      <w:r>
        <w:rPr>
          <w:sz w:val="20"/>
        </w:rPr>
        <w:br/>
        <w:t>Référence : TDR-EAU-114</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planification, suivi et coordination des interventions en eau agricole. La mission concerne prioritairement les zones suivantes : Hauts-Bassins, Kossi, Houet.</w:t>
      </w:r>
    </w:p>
    <w:p>
      <w:r>
        <w:t>Les évolutions observées dans le secteur de eau agricole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eau agricole,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eau agricole dans les zones couvertes.</w:t>
      </w:r>
    </w:p>
    <w:p>
      <w:pPr>
        <w:pStyle w:val="ListNumber"/>
      </w:pPr>
      <w:r>
        <w:t>Identifier les principaux facteurs qui influencent l’accès, la qualité ou la performance des interventions liées à planification, suivi et coordination des interventions en eau agricole.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Hauts-Bassins, Kossi, Houet.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eau agricole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