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genre dans les zones prioritaires</w:t>
      </w:r>
    </w:p>
    <w:p>
      <w:pPr>
        <w:jc w:val="center"/>
      </w:pPr>
      <w:r>
        <w:rPr>
          <w:i/>
          <w:sz w:val="22"/>
        </w:rPr>
        <w:t>Termes de références pour une étude sur planification, suivi et coordination des interventions en genre</w:t>
      </w:r>
    </w:p>
    <w:p>
      <w:pPr>
        <w:jc w:val="center"/>
      </w:pPr>
      <w:r>
        <w:rPr>
          <w:sz w:val="20"/>
        </w:rPr>
        <w:br/>
        <w:t>Référence : TDR-GEN-118</w:t>
        <w:br/>
        <w:t>Année : 2026</w:t>
      </w:r>
    </w:p>
    <w:p>
      <w:r>
        <w:br w:type="page"/>
      </w:r>
    </w:p>
    <w:p>
      <w:pPr>
        <w:pStyle w:val="Heading1"/>
      </w:pPr>
      <w:r>
        <w:t>1. Contexte et justification</w:t>
      </w:r>
    </w:p>
    <w:p>
      <w:r>
        <w:t>Dans le cadre de l’amélioration de la programmation des interventions publiques et de l’appui aux acteurs locaux, Unité de coordination du programme envisage la réalisation d’une étude portant sur planification, suivi et coordination des interventions en genre. La mission concerne prioritairement les zones suivantes : Centre-Est, Koulpélogo, Tenkodogo.</w:t>
      </w:r>
    </w:p>
    <w:p>
      <w:r>
        <w:t>Les évolutions observées dans le secteur de genre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genre,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genre dans les zones couvertes.</w:t>
      </w:r>
    </w:p>
    <w:p>
      <w:pPr>
        <w:pStyle w:val="ListNumber"/>
      </w:pPr>
      <w:r>
        <w:t>Identifier les principaux facteurs qui influencent l’accès, la qualité ou la performance des interventions liées à planification, suivi et coordination des interventions en genre.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Centre-Est, Koulpélogo, Tenkodogo.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genre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