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8"/>
        </w:rPr>
        <w:t>DOCUMENT FICTIF DE TEST — TDRDOC-SCAN</w:t>
      </w:r>
    </w:p>
    <w:p>
      <w:pPr>
        <w:jc w:val="center"/>
      </w:pPr>
      <w:r>
        <w:rPr>
          <w:b/>
          <w:sz w:val="30"/>
        </w:rPr>
        <w:t>TERMES DE RÉFÉRENCE</w:t>
      </w:r>
    </w:p>
    <w:p>
      <w:pPr>
        <w:jc w:val="center"/>
      </w:pPr>
      <w:r>
        <w:rPr>
          <w:b/>
          <w:sz w:val="28"/>
        </w:rPr>
        <w:t>Enquête sur les conditions socioéconomiques des ménages ruraux dans le Centre-Sud</w:t>
      </w:r>
    </w:p>
    <w:tbl>
      <w:tblPr>
        <w:tblStyle w:val="TableGrid"/>
        <w:tblW w:type="auto" w:w="0"/>
        <w:tblLook w:firstColumn="1" w:firstRow="1" w:lastColumn="0" w:lastRow="0" w:noHBand="0" w:noVBand="1" w:val="04A0"/>
      </w:tblPr>
      <w:tblGrid>
        <w:gridCol w:w="4896"/>
        <w:gridCol w:w="4896"/>
      </w:tblGrid>
      <w:tr>
        <w:tc>
          <w:tcPr>
            <w:tcW w:type="dxa" w:w="4896"/>
            <w:shd w:fill="E2E8F0"/>
          </w:tcPr>
          <w:p>
            <w:r>
              <w:rPr>
                <w:b/>
              </w:rPr>
              <w:t>Référence</w:t>
            </w:r>
          </w:p>
        </w:tc>
        <w:tc>
          <w:tcPr>
            <w:tcW w:type="dxa" w:w="4896"/>
          </w:tcPr>
          <w:p>
            <w:r>
              <w:t>TDR-TEST-101</w:t>
            </w:r>
          </w:p>
        </w:tc>
      </w:tr>
      <w:tr>
        <w:tc>
          <w:tcPr>
            <w:tcW w:type="dxa" w:w="4896"/>
            <w:shd w:fill="E2E8F0"/>
          </w:tcPr>
          <w:p>
            <w:r>
              <w:rPr>
                <w:b/>
              </w:rPr>
              <w:t>Année</w:t>
            </w:r>
          </w:p>
        </w:tc>
        <w:tc>
          <w:tcPr>
            <w:tcW w:type="dxa" w:w="4896"/>
          </w:tcPr>
          <w:p>
            <w:r>
              <w:t>2026</w:t>
            </w:r>
          </w:p>
        </w:tc>
      </w:tr>
      <w:tr>
        <w:tc>
          <w:tcPr>
            <w:tcW w:type="dxa" w:w="4896"/>
            <w:shd w:fill="E2E8F0"/>
          </w:tcPr>
          <w:p>
            <w:r>
              <w:rPr>
                <w:b/>
              </w:rPr>
              <w:t>Zone(s) d’étude</w:t>
            </w:r>
          </w:p>
        </w:tc>
        <w:tc>
          <w:tcPr>
            <w:tcW w:type="dxa" w:w="4896"/>
          </w:tcPr>
          <w:p>
            <w:r>
              <w:t>Centre-Sud, Zoundwéogo et Bazèga</w:t>
            </w:r>
          </w:p>
        </w:tc>
      </w:tr>
      <w:tr>
        <w:tc>
          <w:tcPr>
            <w:tcW w:type="dxa" w:w="4896"/>
            <w:shd w:fill="E2E8F0"/>
          </w:tcPr>
          <w:p>
            <w:r>
              <w:rPr>
                <w:b/>
              </w:rPr>
              <w:t>Type de document</w:t>
            </w:r>
          </w:p>
        </w:tc>
        <w:tc>
          <w:tcPr>
            <w:tcW w:type="dxa" w:w="4896"/>
          </w:tcPr>
          <w:p>
            <w:r>
              <w:t>Termes de référence pour une étude</w:t>
            </w:r>
          </w:p>
        </w:tc>
      </w:tr>
    </w:tbl>
    <w:p/>
    <w:p>
      <w:pPr>
        <w:pStyle w:val="Heading1"/>
      </w:pPr>
      <w:r>
        <w:t>1. Contexte et justification</w:t>
      </w:r>
    </w:p>
    <w:p>
      <w:r>
        <w:t>Les ménages ruraux font face à des situations socioéconomiques diverses, qui influencent leurs revenus, leurs activités professionnelles, leurs conditions d’habitat et leur accès aux services essentiels. Les acteurs de la planification ont besoin d’informations récentes et structurées pour mieux apprécier ces conditions et orienter les interventions publiques.</w:t>
      </w:r>
    </w:p>
    <w:p>
      <w:r>
        <w:t>La présente mission vise à dresser un état des lieux des conditions de vie des ménages ruraux dans les provinces du Zoundwéogo et du Bazèga, au sein de la région du Centre-Sud. Elle s’inscrit dans une démarche de collecte et d’analyse d’informations économiques et sociales comparables à l’échelle des localités étudiées.</w:t>
      </w:r>
    </w:p>
    <w:p>
      <w:pPr>
        <w:pStyle w:val="Heading1"/>
      </w:pPr>
      <w:r>
        <w:t>2. Objectif général</w:t>
      </w:r>
    </w:p>
    <w:p>
      <w:r>
        <w:t>Réaliser un diagnostic des conditions socioéconomiques des ménages ruraux dans les zones retenues afin de fournir des éléments d’aide à la décision pour la planification des actions de développement.</w:t>
      </w:r>
    </w:p>
    <w:p>
      <w:pPr>
        <w:pStyle w:val="Heading1"/>
      </w:pPr>
      <w:r>
        <w:t>3. Objectifs spécifiques</w:t>
      </w:r>
    </w:p>
    <w:p>
      <w:pPr>
        <w:pStyle w:val="ListBullet"/>
      </w:pPr>
      <w:r>
        <w:t>Décrire les principales sources de revenus et les activités économiques des ménages.</w:t>
      </w:r>
    </w:p>
    <w:p>
      <w:pPr>
        <w:pStyle w:val="ListBullet"/>
      </w:pPr>
      <w:r>
        <w:t>Analyser la situation de l’emploi et les formes d’activités exercées par les membres des ménages.</w:t>
      </w:r>
    </w:p>
    <w:p>
      <w:pPr>
        <w:pStyle w:val="ListBullet"/>
      </w:pPr>
      <w:r>
        <w:t>Apprécier les conditions de logement et l’accès aux services essentiels.</w:t>
      </w:r>
    </w:p>
    <w:p>
      <w:pPr>
        <w:pStyle w:val="ListBullet"/>
      </w:pPr>
      <w:r>
        <w:t>Identifier les différences entre localités et les principaux besoins exprimés par les ménages.</w:t>
      </w:r>
    </w:p>
    <w:p>
      <w:pPr>
        <w:pStyle w:val="ListBullet"/>
      </w:pPr>
      <w:r>
        <w:t>Formuler des recommandations utiles à la planification des interventions.</w:t>
      </w:r>
    </w:p>
    <w:p>
      <w:pPr>
        <w:pStyle w:val="Heading1"/>
      </w:pPr>
      <w:r>
        <w:t>4. Champ de l’étude</w:t>
      </w:r>
    </w:p>
    <w:p>
      <w:r>
        <w:t>L’étude portera sur les ménages vivant en milieu rural dans les zones du Centre-Sud, notamment dans les provinces du Zoundwéogo et du Bazèga. Elle couvrira les dimensions liées aux revenus, à l’emploi, à l’habitat et à l’accès aux services.</w:t>
      </w:r>
    </w:p>
    <w:p>
      <w:r>
        <w:t>Les résultats devront permettre une lecture synthétique des conditions de vie, sans prétendre représenter des zones non couvertes par l’échantillonnage.</w:t>
      </w:r>
    </w:p>
    <w:p>
      <w:pPr>
        <w:pStyle w:val="Heading1"/>
      </w:pPr>
      <w:r>
        <w:t>5. Approche méthodologique</w:t>
      </w:r>
    </w:p>
    <w:p>
      <w:r>
        <w:t>La mission combinera une revue documentaire, une collecte quantitative auprès d’un échantillon de ménages, des entretiens semi-directifs avec des acteurs locaux et des observations de terrain.</w:t>
      </w:r>
    </w:p>
    <w:p>
      <w:r>
        <w:t>Le prestataire proposera un plan d’échantillonnage, des questionnaires et des guides d’entretien à valider avant le démarrage de la collecte. Les données seront contrôlées, nettoyées puis analysées à l’aide de tableaux descriptifs et de comparaisons entre localités.</w:t>
      </w:r>
    </w:p>
    <w:p>
      <w:r>
        <w:t>Une séance de restitution permettra de discuter les constats et de recueillir les observations du commanditaire.</w:t>
      </w:r>
    </w:p>
    <w:p>
      <w:pPr>
        <w:pStyle w:val="Heading1"/>
      </w:pPr>
      <w:r>
        <w:t>6. Résultats attendus</w:t>
      </w:r>
    </w:p>
    <w:p>
      <w:pPr>
        <w:pStyle w:val="ListBullet"/>
      </w:pPr>
      <w:r>
        <w:t>Les principaux profils socioéconomiques des ménages sont décrits.</w:t>
      </w:r>
    </w:p>
    <w:p>
      <w:pPr>
        <w:pStyle w:val="ListBullet"/>
      </w:pPr>
      <w:r>
        <w:t>Les sources de revenus, l’emploi, l’habitat et l’accès aux services sont analysés.</w:t>
      </w:r>
    </w:p>
    <w:p>
      <w:pPr>
        <w:pStyle w:val="ListBullet"/>
      </w:pPr>
      <w:r>
        <w:t>Les besoins prioritaires et les différences entre localités sont documentés.</w:t>
      </w:r>
    </w:p>
    <w:p>
      <w:pPr>
        <w:pStyle w:val="ListBullet"/>
      </w:pPr>
      <w:r>
        <w:t>Des recommandations sont formulées pour soutenir la planification.</w:t>
      </w:r>
    </w:p>
    <w:p>
      <w:pPr>
        <w:pStyle w:val="Heading1"/>
      </w:pPr>
      <w:r>
        <w:t>7. Livrables attendus</w:t>
      </w:r>
    </w:p>
    <w:p>
      <w:pPr>
        <w:pStyle w:val="ListBullet"/>
      </w:pPr>
      <w:r>
        <w:t>Un rapport de démarrage comprenant la méthodologie, le plan d’échantillonnage et les outils de collecte.</w:t>
      </w:r>
    </w:p>
    <w:p>
      <w:pPr>
        <w:pStyle w:val="ListBullet"/>
      </w:pPr>
      <w:r>
        <w:t>Une base de données anonymisée et un dictionnaire des variables.</w:t>
      </w:r>
    </w:p>
    <w:p>
      <w:pPr>
        <w:pStyle w:val="ListBullet"/>
      </w:pPr>
      <w:r>
        <w:t>Un rapport provisoire présentant les résultats et les limites de l’étude.</w:t>
      </w:r>
    </w:p>
    <w:p>
      <w:pPr>
        <w:pStyle w:val="ListBullet"/>
      </w:pPr>
      <w:r>
        <w:t>Un rapport final intégrant les observations du commanditaire et des recommandations.</w:t>
      </w:r>
    </w:p>
    <w:p>
      <w:pPr>
        <w:pStyle w:val="Heading1"/>
      </w:pPr>
      <w:r>
        <w:t>8. Durée et calendrier indicatif</w:t>
      </w:r>
    </w:p>
    <w:p>
      <w:r>
        <w:t>La durée indicative de la mission est de huit semaines à compter de la notification.</w:t>
      </w:r>
    </w:p>
    <w:p>
      <w:r>
        <w:t>Semaines 1–2 : cadrage et revue documentaire ; semaines 3–4 : collecte ; semaines 5–6 : traitement et analyse ; semaine 7 : rapport provisoire et restitution ; semaine 8 : rapport final.</w:t>
      </w:r>
    </w:p>
    <w:p>
      <w:pPr>
        <w:pStyle w:val="Heading1"/>
      </w:pPr>
      <w:r>
        <w:t>9. Profil de l’équipe de consultation</w:t>
      </w:r>
    </w:p>
    <w:p>
      <w:pPr>
        <w:pStyle w:val="ListBullet"/>
      </w:pPr>
      <w:r>
        <w:t>Un chef de mission spécialisé en sciences sociales, économie ou développement.</w:t>
      </w:r>
    </w:p>
    <w:p>
      <w:pPr>
        <w:pStyle w:val="ListBullet"/>
      </w:pPr>
      <w:r>
        <w:t>Un statisticien ou spécialiste des enquêtes quantitatives.</w:t>
      </w:r>
    </w:p>
    <w:p>
      <w:pPr>
        <w:pStyle w:val="ListBullet"/>
      </w:pPr>
      <w:r>
        <w:t>Des enquêteurs maîtrisant les langues utilisées dans les zones de collecte.</w:t>
      </w:r>
    </w:p>
    <w:p>
      <w:pPr>
        <w:pStyle w:val="Heading1"/>
      </w:pPr>
      <w:r>
        <w:t>10. Organisation et suivi</w:t>
      </w:r>
    </w:p>
    <w:p>
      <w:r>
        <w:t>Le prestataire travaillera en concertation avec le service commanditaire, qui validera la note de cadrage, les outils de collecte et les livrables intermédiaires.</w:t>
      </w:r>
    </w:p>
    <w:p>
      <w:r>
        <w:t>Les données collectées devront être documentées, anonymisées lorsque nécessaire et remises dans des formats réutilisables. Les limites de l’étude et les précautions d’interprétation devront être explicitées.</w:t>
      </w:r>
    </w:p>
    <w:p>
      <w:pPr>
        <w:pStyle w:val="Heading1"/>
      </w:pPr>
      <w:r>
        <w:t>11. Critères indicatifs de qualité</w:t>
      </w:r>
    </w:p>
    <w:p>
      <w:pPr>
        <w:pStyle w:val="ListBullet"/>
      </w:pPr>
      <w:r>
        <w:t>Pertinence et cohérence de la méthodologie proposée avec les objectifs.</w:t>
      </w:r>
    </w:p>
    <w:p>
      <w:pPr>
        <w:pStyle w:val="ListBullet"/>
      </w:pPr>
      <w:r>
        <w:t>Qualité, traçabilité et couverture des données collectées.</w:t>
      </w:r>
    </w:p>
    <w:p>
      <w:pPr>
        <w:pStyle w:val="ListBullet"/>
      </w:pPr>
      <w:r>
        <w:t>Clarté des analyses, des conclusions et des recommandations opérationnelles.</w:t>
      </w:r>
    </w:p>
    <w:p>
      <w:pPr>
        <w:pStyle w:val="ListBullet"/>
      </w:pPr>
      <w:r>
        <w:t>Respect du calendrier et des exigences de confidentialité.</w:t>
      </w:r>
    </w:p>
    <w:p>
      <w:pPr>
        <w:spacing w:before="160"/>
      </w:pPr>
      <w:r>
        <w:rPr>
          <w:b/>
        </w:rPr>
        <w:t xml:space="preserve">Note de test : </w:t>
      </w:r>
      <w:r>
        <w:t>Ce document est conçu comme un cas de test de doublon probable : le sujet, les dimensions analysées, la méthode générale et les zones correspondent de près au TDR de référence TDR-STA-016, malgré une formulation différente du titre.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