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18"/>
        </w:rPr>
        <w:t>DOCUMENT FICTIF DE TEST — TDRDOC-SCAN</w:t>
      </w:r>
    </w:p>
    <w:p>
      <w:pPr>
        <w:jc w:val="center"/>
      </w:pPr>
      <w:r>
        <w:rPr>
          <w:b/>
          <w:sz w:val="30"/>
        </w:rPr>
        <w:t>TERMES DE RÉFÉRENCE</w:t>
      </w:r>
    </w:p>
    <w:p>
      <w:pPr>
        <w:jc w:val="center"/>
      </w:pPr>
      <w:r>
        <w:rPr>
          <w:b/>
          <w:sz w:val="28"/>
        </w:rPr>
        <w:t>Diagnostic de l’accès aux services essentiels dans les communes rurales du Centre-Sud</w:t>
      </w:r>
    </w:p>
    <w:tbl>
      <w:tblPr>
        <w:tblStyle w:val="TableGrid"/>
        <w:tblW w:type="auto" w:w="0"/>
        <w:tblLook w:firstColumn="1" w:firstRow="1" w:lastColumn="0" w:lastRow="0" w:noHBand="0" w:noVBand="1" w:val="04A0"/>
      </w:tblPr>
      <w:tblGrid>
        <w:gridCol w:w="4896"/>
        <w:gridCol w:w="4896"/>
      </w:tblGrid>
      <w:tr>
        <w:tc>
          <w:tcPr>
            <w:tcW w:type="dxa" w:w="4896"/>
            <w:shd w:fill="E2E8F0"/>
          </w:tcPr>
          <w:p>
            <w:r>
              <w:rPr>
                <w:b/>
              </w:rPr>
              <w:t>Référence</w:t>
            </w:r>
          </w:p>
        </w:tc>
        <w:tc>
          <w:tcPr>
            <w:tcW w:type="dxa" w:w="4896"/>
          </w:tcPr>
          <w:p>
            <w:r>
              <w:t>TDR-TEST-102</w:t>
            </w:r>
          </w:p>
        </w:tc>
      </w:tr>
      <w:tr>
        <w:tc>
          <w:tcPr>
            <w:tcW w:type="dxa" w:w="4896"/>
            <w:shd w:fill="E2E8F0"/>
          </w:tcPr>
          <w:p>
            <w:r>
              <w:rPr>
                <w:b/>
              </w:rPr>
              <w:t>Année</w:t>
            </w:r>
          </w:p>
        </w:tc>
        <w:tc>
          <w:tcPr>
            <w:tcW w:type="dxa" w:w="4896"/>
          </w:tcPr>
          <w:p>
            <w:r>
              <w:t>2026</w:t>
            </w:r>
          </w:p>
        </w:tc>
      </w:tr>
      <w:tr>
        <w:tc>
          <w:tcPr>
            <w:tcW w:type="dxa" w:w="4896"/>
            <w:shd w:fill="E2E8F0"/>
          </w:tcPr>
          <w:p>
            <w:r>
              <w:rPr>
                <w:b/>
              </w:rPr>
              <w:t>Zone(s) d’étude</w:t>
            </w:r>
          </w:p>
        </w:tc>
        <w:tc>
          <w:tcPr>
            <w:tcW w:type="dxa" w:w="4896"/>
          </w:tcPr>
          <w:p>
            <w:r>
              <w:t>Communes rurales du Centre-Sud, avec un focus sur le Zoundwéogo et le Bazèga</w:t>
            </w:r>
          </w:p>
        </w:tc>
      </w:tr>
      <w:tr>
        <w:tc>
          <w:tcPr>
            <w:tcW w:type="dxa" w:w="4896"/>
            <w:shd w:fill="E2E8F0"/>
          </w:tcPr>
          <w:p>
            <w:r>
              <w:rPr>
                <w:b/>
              </w:rPr>
              <w:t>Type de document</w:t>
            </w:r>
          </w:p>
        </w:tc>
        <w:tc>
          <w:tcPr>
            <w:tcW w:type="dxa" w:w="4896"/>
          </w:tcPr>
          <w:p>
            <w:r>
              <w:t>Termes de référence pour une étude</w:t>
            </w:r>
          </w:p>
        </w:tc>
      </w:tr>
    </w:tbl>
    <w:p/>
    <w:p>
      <w:pPr>
        <w:pStyle w:val="Heading1"/>
      </w:pPr>
      <w:r>
        <w:t>1. Contexte et justification</w:t>
      </w:r>
    </w:p>
    <w:p>
      <w:r>
        <w:t>L’accès aux services essentiels constitue un enjeu important pour les conditions de vie en milieu rural. Les autorités locales et les services techniques ont besoin d’une analyse territorialisée permettant d’identifier les difficultés d’accès, les écarts entre communes et les besoins prioritaires des populations.</w:t>
      </w:r>
    </w:p>
    <w:p>
      <w:r>
        <w:t>La mission est centrée sur l’accès aux services essentiels. Elle ne vise pas à produire une analyse complète des revenus, de l’emploi et de l’habitat des ménages, mais à mieux comprendre la disponibilité, l’accessibilité et l’utilisation des services retenus.</w:t>
      </w:r>
    </w:p>
    <w:p>
      <w:pPr>
        <w:pStyle w:val="Heading1"/>
      </w:pPr>
      <w:r>
        <w:t>2. Objectif général</w:t>
      </w:r>
    </w:p>
    <w:p>
      <w:r>
        <w:t>Évaluer l’accès des populations rurales aux principaux services essentiels dans les communes ciblées du Centre-Sud afin d’identifier les obstacles et de proposer des pistes d’amélioration.</w:t>
      </w:r>
    </w:p>
    <w:p>
      <w:pPr>
        <w:pStyle w:val="Heading1"/>
      </w:pPr>
      <w:r>
        <w:t>3. Objectifs spécifiques</w:t>
      </w:r>
    </w:p>
    <w:p>
      <w:pPr>
        <w:pStyle w:val="ListBullet"/>
      </w:pPr>
      <w:r>
        <w:t>Recenser les services essentiels disponibles dans les communes étudiées et décrire leur répartition.</w:t>
      </w:r>
    </w:p>
    <w:p>
      <w:pPr>
        <w:pStyle w:val="ListBullet"/>
      </w:pPr>
      <w:r>
        <w:t>Analyser les contraintes géographiques, financières et sociales qui limitent l’accès des ménages aux services.</w:t>
      </w:r>
    </w:p>
    <w:p>
      <w:pPr>
        <w:pStyle w:val="ListBullet"/>
      </w:pPr>
      <w:r>
        <w:t>Comparer les difficultés rencontrées entre les communes et les catégories de population.</w:t>
      </w:r>
    </w:p>
    <w:p>
      <w:pPr>
        <w:pStyle w:val="ListBullet"/>
      </w:pPr>
      <w:r>
        <w:t>Recueillir les perceptions des usagers et des acteurs locaux.</w:t>
      </w:r>
    </w:p>
    <w:p>
      <w:pPr>
        <w:pStyle w:val="ListBullet"/>
      </w:pPr>
      <w:r>
        <w:t>Proposer des recommandations opérationnelles adaptées aux constats.</w:t>
      </w:r>
    </w:p>
    <w:p>
      <w:pPr>
        <w:pStyle w:val="Heading1"/>
      </w:pPr>
      <w:r>
        <w:t>4. Champ de l’étude</w:t>
      </w:r>
    </w:p>
    <w:p>
      <w:r>
        <w:t>L’étude couvrira les services essentiels retenus avec le commanditaire, par exemple l’eau potable, l’assainissement, la santé, l’éducation et les services administratifs de proximité.</w:t>
      </w:r>
    </w:p>
    <w:p>
      <w:r>
        <w:t>Les variables relatives aux revenus, à l’emploi et à l’habitat ne seront mobilisées que lorsqu’elles permettent d’expliquer les obstacles d’accès. Elles ne constitueront pas des axes d’analyse autonomes.</w:t>
      </w:r>
    </w:p>
    <w:p>
      <w:pPr>
        <w:pStyle w:val="Heading1"/>
      </w:pPr>
      <w:r>
        <w:t>5. Approche méthodologique</w:t>
      </w:r>
    </w:p>
    <w:p>
      <w:r>
        <w:t>La méthodologie reposera sur une revue des documents disponibles, une cartographie des services, des entretiens avec les responsables locaux et des échanges avec des usagers.</w:t>
      </w:r>
    </w:p>
    <w:p>
      <w:r>
        <w:t>Des questionnaires courts pourront être administrés à un échantillon de ménages afin de mesurer les distances, les coûts, les délais et les principales difficultés d’accès.</w:t>
      </w:r>
    </w:p>
    <w:p>
      <w:r>
        <w:t>Les données seront analysées par commune et par type de service. Les résultats seront accompagnés d’une présentation des limites de couverture et de disponibilité des données.</w:t>
      </w:r>
    </w:p>
    <w:p>
      <w:pPr>
        <w:pStyle w:val="Heading1"/>
      </w:pPr>
      <w:r>
        <w:t>6. Résultats attendus</w:t>
      </w:r>
    </w:p>
    <w:p>
      <w:pPr>
        <w:pStyle w:val="ListBullet"/>
      </w:pPr>
      <w:r>
        <w:t>La disponibilité et la répartition des services retenus sont documentées.</w:t>
      </w:r>
    </w:p>
    <w:p>
      <w:pPr>
        <w:pStyle w:val="ListBullet"/>
      </w:pPr>
      <w:r>
        <w:t>Les principaux obstacles à l’accès sont identifiés et comparés entre communes.</w:t>
      </w:r>
    </w:p>
    <w:p>
      <w:pPr>
        <w:pStyle w:val="ListBullet"/>
      </w:pPr>
      <w:r>
        <w:t>Les perceptions des usagers sont synthétisées.</w:t>
      </w:r>
    </w:p>
    <w:p>
      <w:pPr>
        <w:pStyle w:val="ListBullet"/>
      </w:pPr>
      <w:r>
        <w:t>Des mesures d’amélioration sont proposées au commanditaire.</w:t>
      </w:r>
    </w:p>
    <w:p>
      <w:pPr>
        <w:pStyle w:val="Heading1"/>
      </w:pPr>
      <w:r>
        <w:t>7. Livrables attendus</w:t>
      </w:r>
    </w:p>
    <w:p>
      <w:pPr>
        <w:pStyle w:val="ListBullet"/>
      </w:pPr>
      <w:r>
        <w:t>Une cartographie ou un répertoire des services étudiés.</w:t>
      </w:r>
    </w:p>
    <w:p>
      <w:pPr>
        <w:pStyle w:val="ListBullet"/>
      </w:pPr>
      <w:r>
        <w:t>Une analyse des principaux obstacles à l’accès par type de service et par commune.</w:t>
      </w:r>
    </w:p>
    <w:p>
      <w:pPr>
        <w:pStyle w:val="ListBullet"/>
      </w:pPr>
      <w:r>
        <w:t>Une synthèse des perceptions des usagers et des acteurs locaux.</w:t>
      </w:r>
    </w:p>
    <w:p>
      <w:pPr>
        <w:pStyle w:val="ListBullet"/>
      </w:pPr>
      <w:r>
        <w:t>Un ensemble de recommandations hiérarchisées pour améliorer l’accès.</w:t>
      </w:r>
    </w:p>
    <w:p>
      <w:pPr>
        <w:pStyle w:val="Heading1"/>
      </w:pPr>
      <w:r>
        <w:t>8. Durée et calendrier indicatif</w:t>
      </w:r>
    </w:p>
    <w:p>
      <w:r>
        <w:t>La durée indicative est de six semaines.</w:t>
      </w:r>
    </w:p>
    <w:p>
      <w:r>
        <w:t>Semaine 1 : cadrage et revue documentaire ; semaines 2–3 : collecte ; semaine 4 : analyse ; semaine 5 : rapport provisoire et échanges ; semaine 6 : rapport final.</w:t>
      </w:r>
    </w:p>
    <w:p>
      <w:pPr>
        <w:pStyle w:val="Heading1"/>
      </w:pPr>
      <w:r>
        <w:t>9. Profil de l’équipe de consultation</w:t>
      </w:r>
    </w:p>
    <w:p>
      <w:pPr>
        <w:pStyle w:val="ListBullet"/>
      </w:pPr>
      <w:r>
        <w:t>Un spécialiste en développement local ou en politiques publiques.</w:t>
      </w:r>
    </w:p>
    <w:p>
      <w:pPr>
        <w:pStyle w:val="ListBullet"/>
      </w:pPr>
      <w:r>
        <w:t>Un spécialiste des enquêtes et de l’analyse de données.</w:t>
      </w:r>
    </w:p>
    <w:p>
      <w:pPr>
        <w:pStyle w:val="ListBullet"/>
      </w:pPr>
      <w:r>
        <w:t>Des enquêteurs connaissant les communes ciblées.</w:t>
      </w:r>
    </w:p>
    <w:p>
      <w:pPr>
        <w:pStyle w:val="Heading1"/>
      </w:pPr>
      <w:r>
        <w:t>10. Organisation et suivi</w:t>
      </w:r>
    </w:p>
    <w:p>
      <w:r>
        <w:t>Le prestataire travaillera en concertation avec le service commanditaire, qui validera la note de cadrage, les outils de collecte et les livrables intermédiaires.</w:t>
      </w:r>
    </w:p>
    <w:p>
      <w:r>
        <w:t>Les données collectées devront être documentées, anonymisées lorsque nécessaire et remises dans des formats réutilisables. Les limites de l’étude et les précautions d’interprétation devront être explicitées.</w:t>
      </w:r>
    </w:p>
    <w:p>
      <w:pPr>
        <w:pStyle w:val="Heading1"/>
      </w:pPr>
      <w:r>
        <w:t>11. Critères indicatifs de qualité</w:t>
      </w:r>
    </w:p>
    <w:p>
      <w:pPr>
        <w:pStyle w:val="ListBullet"/>
      </w:pPr>
      <w:r>
        <w:t>Pertinence et cohérence de la méthodologie proposée avec les objectifs.</w:t>
      </w:r>
    </w:p>
    <w:p>
      <w:pPr>
        <w:pStyle w:val="ListBullet"/>
      </w:pPr>
      <w:r>
        <w:t>Qualité, traçabilité et couverture des données collectées.</w:t>
      </w:r>
    </w:p>
    <w:p>
      <w:pPr>
        <w:pStyle w:val="ListBullet"/>
      </w:pPr>
      <w:r>
        <w:t>Clarté des analyses, des conclusions et des recommandations opérationnelles.</w:t>
      </w:r>
    </w:p>
    <w:p>
      <w:pPr>
        <w:pStyle w:val="ListBullet"/>
      </w:pPr>
      <w:r>
        <w:t>Respect du calendrier et des exigences de confidentialité.</w:t>
      </w:r>
    </w:p>
    <w:p>
      <w:pPr>
        <w:spacing w:before="160"/>
      </w:pPr>
      <w:r>
        <w:rPr>
          <w:b/>
        </w:rPr>
        <w:t xml:space="preserve">Note de test : </w:t>
      </w:r>
      <w:r>
        <w:t>Ce document représente un cas de similarité partielle : il partage avec le TDR de référence le contexte des ménages ruraux, la finalité de diagnostic et une zone géographique proche, mais son objet est plus restreint et porte principalement sur l’accès aux services essentiels.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