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18"/>
        </w:rPr>
        <w:t>DOCUMENT FICTIF DE TEST — TDRDOC-SCAN</w:t>
      </w:r>
    </w:p>
    <w:p>
      <w:pPr>
        <w:jc w:val="center"/>
      </w:pPr>
      <w:r>
        <w:rPr>
          <w:b/>
          <w:sz w:val="30"/>
        </w:rPr>
        <w:t>TERMES DE RÉFÉRENCE</w:t>
      </w:r>
    </w:p>
    <w:p>
      <w:pPr>
        <w:jc w:val="center"/>
      </w:pPr>
      <w:r>
        <w:rPr>
          <w:b/>
          <w:sz w:val="28"/>
        </w:rPr>
        <w:t>Étude sur les revenus, l’emploi et l’habitat des ménages ruraux dans l’Est du Burkina Faso</w:t>
      </w:r>
    </w:p>
    <w:tbl>
      <w:tblPr>
        <w:tblStyle w:val="TableGrid"/>
        <w:tblW w:type="auto" w:w="0"/>
        <w:tblLook w:firstColumn="1" w:firstRow="1" w:lastColumn="0" w:lastRow="0" w:noHBand="0" w:noVBand="1" w:val="04A0"/>
      </w:tblPr>
      <w:tblGrid>
        <w:gridCol w:w="4896"/>
        <w:gridCol w:w="4896"/>
      </w:tblGrid>
      <w:tr>
        <w:tc>
          <w:tcPr>
            <w:tcW w:type="dxa" w:w="4896"/>
            <w:shd w:fill="E2E8F0"/>
          </w:tcPr>
          <w:p>
            <w:r>
              <w:rPr>
                <w:b/>
              </w:rPr>
              <w:t>Référence</w:t>
            </w:r>
          </w:p>
        </w:tc>
        <w:tc>
          <w:tcPr>
            <w:tcW w:type="dxa" w:w="4896"/>
          </w:tcPr>
          <w:p>
            <w:r>
              <w:t>TDR-TEST-103</w:t>
            </w:r>
          </w:p>
        </w:tc>
      </w:tr>
      <w:tr>
        <w:tc>
          <w:tcPr>
            <w:tcW w:type="dxa" w:w="4896"/>
            <w:shd w:fill="E2E8F0"/>
          </w:tcPr>
          <w:p>
            <w:r>
              <w:rPr>
                <w:b/>
              </w:rPr>
              <w:t>Année</w:t>
            </w:r>
          </w:p>
        </w:tc>
        <w:tc>
          <w:tcPr>
            <w:tcW w:type="dxa" w:w="4896"/>
          </w:tcPr>
          <w:p>
            <w:r>
              <w:t>2026</w:t>
            </w:r>
          </w:p>
        </w:tc>
      </w:tr>
      <w:tr>
        <w:tc>
          <w:tcPr>
            <w:tcW w:type="dxa" w:w="4896"/>
            <w:shd w:fill="E2E8F0"/>
          </w:tcPr>
          <w:p>
            <w:r>
              <w:rPr>
                <w:b/>
              </w:rPr>
              <w:t>Zone(s) d’étude</w:t>
            </w:r>
          </w:p>
        </w:tc>
        <w:tc>
          <w:tcPr>
            <w:tcW w:type="dxa" w:w="4896"/>
          </w:tcPr>
          <w:p>
            <w:r>
              <w:t>Communes rurales sélectionnées de la région de l’Est</w:t>
            </w:r>
          </w:p>
        </w:tc>
      </w:tr>
      <w:tr>
        <w:tc>
          <w:tcPr>
            <w:tcW w:type="dxa" w:w="4896"/>
            <w:shd w:fill="E2E8F0"/>
          </w:tcPr>
          <w:p>
            <w:r>
              <w:rPr>
                <w:b/>
              </w:rPr>
              <w:t>Type de document</w:t>
            </w:r>
          </w:p>
        </w:tc>
        <w:tc>
          <w:tcPr>
            <w:tcW w:type="dxa" w:w="4896"/>
          </w:tcPr>
          <w:p>
            <w:r>
              <w:t>Termes de référence pour une étude</w:t>
            </w:r>
          </w:p>
        </w:tc>
      </w:tr>
    </w:tbl>
    <w:p/>
    <w:p>
      <w:pPr>
        <w:pStyle w:val="Heading1"/>
      </w:pPr>
      <w:r>
        <w:t>1. Contexte et justification</w:t>
      </w:r>
    </w:p>
    <w:p>
      <w:r>
        <w:t>La connaissance des conditions socioéconomiques des ménages ruraux constitue un appui à la planification territoriale et à la conception de programmes de développement. Les revenus, les activités professionnelles, les conditions de logement et l’accès aux services contribuent à caractériser les situations des ménages.</w:t>
      </w:r>
    </w:p>
    <w:p>
      <w:r>
        <w:t>La présente étude prévoit une analyse de ces dimensions dans des communes rurales de la région de l’Est. Le contexte territorial et les localités étudiées sont distincts de ceux couverts par les études menées dans le Centre-Sud ; les résultats devront donc être interprétés en tenant compte des spécificités locales.</w:t>
      </w:r>
    </w:p>
    <w:p>
      <w:pPr>
        <w:pStyle w:val="Heading1"/>
      </w:pPr>
      <w:r>
        <w:t>2. Objectif général</w:t>
      </w:r>
    </w:p>
    <w:p>
      <w:r>
        <w:t>Analyser les conditions socioéconomiques des ménages ruraux dans les communes retenues de la région de l’Est afin d’éclairer la planification et la priorisation des actions de développement.</w:t>
      </w:r>
    </w:p>
    <w:p>
      <w:pPr>
        <w:pStyle w:val="Heading1"/>
      </w:pPr>
      <w:r>
        <w:t>3. Objectifs spécifiques</w:t>
      </w:r>
    </w:p>
    <w:p>
      <w:pPr>
        <w:pStyle w:val="ListBullet"/>
      </w:pPr>
      <w:r>
        <w:t>Décrire les sources de revenus et les activités économiques des ménages.</w:t>
      </w:r>
    </w:p>
    <w:p>
      <w:pPr>
        <w:pStyle w:val="ListBullet"/>
      </w:pPr>
      <w:r>
        <w:t>Caractériser l’emploi et les principales formes d’activité.</w:t>
      </w:r>
    </w:p>
    <w:p>
      <w:pPr>
        <w:pStyle w:val="ListBullet"/>
      </w:pPr>
      <w:r>
        <w:t>Examiner les conditions d’habitat et l’accès aux services essentiels.</w:t>
      </w:r>
    </w:p>
    <w:p>
      <w:pPr>
        <w:pStyle w:val="ListBullet"/>
      </w:pPr>
      <w:r>
        <w:t>Identifier les besoins et contraintes propres aux localités étudiées.</w:t>
      </w:r>
    </w:p>
    <w:p>
      <w:pPr>
        <w:pStyle w:val="ListBullet"/>
      </w:pPr>
      <w:r>
        <w:t>Produire des recommandations tenant compte des réalités territoriales de la région de l’Est.</w:t>
      </w:r>
    </w:p>
    <w:p>
      <w:pPr>
        <w:pStyle w:val="Heading1"/>
      </w:pPr>
      <w:r>
        <w:t>4. Champ de l’étude</w:t>
      </w:r>
    </w:p>
    <w:p>
      <w:r>
        <w:t>L’étude concernera des ménages résidant dans les communes rurales retenues de la région de l’Est. La sélection définitive des communes et des villages sera validée avec le commanditaire lors du cadrage.</w:t>
      </w:r>
    </w:p>
    <w:p>
      <w:r>
        <w:t>Les dimensions étudiées comprennent les revenus, l’emploi, l’habitat et l’accès aux services. Les indicateurs devront être définis de manière à permettre des comparaisons prudentes avec d’autres études, sans supposer que les résultats sont directement transférables d’une région à l’autre.</w:t>
      </w:r>
    </w:p>
    <w:p>
      <w:pPr>
        <w:pStyle w:val="Heading1"/>
      </w:pPr>
      <w:r>
        <w:t>5. Approche méthodologique</w:t>
      </w:r>
    </w:p>
    <w:p>
      <w:r>
        <w:t>La démarche associera une revue documentaire, une enquête quantitative auprès des ménages, des entretiens semi-directifs avec les acteurs locaux et des observations de terrain.</w:t>
      </w:r>
    </w:p>
    <w:p>
      <w:r>
        <w:t>Le prestataire élaborera un plan d’échantillonnage adapté aux communes sélectionnées et soumettra les outils de collecte à validation. Les données seront contrôlées et analysées selon les principales dimensions socioéconomiques.</w:t>
      </w:r>
    </w:p>
    <w:p>
      <w:r>
        <w:t>Le rapport distinguera les constats propres à la région de l’Est des éléments méthodologiques éventuellement réutilisables issus d’études antérieures.</w:t>
      </w:r>
    </w:p>
    <w:p>
      <w:pPr>
        <w:pStyle w:val="Heading1"/>
      </w:pPr>
      <w:r>
        <w:t>6. Résultats attendus</w:t>
      </w:r>
    </w:p>
    <w:p>
      <w:pPr>
        <w:pStyle w:val="ListBullet"/>
      </w:pPr>
      <w:r>
        <w:t>Les conditions socioéconomiques des ménages des localités retenues sont documentées.</w:t>
      </w:r>
    </w:p>
    <w:p>
      <w:pPr>
        <w:pStyle w:val="ListBullet"/>
      </w:pPr>
      <w:r>
        <w:t>Les revenus, l’emploi, l’habitat et l’accès aux services sont analysés.</w:t>
      </w:r>
    </w:p>
    <w:p>
      <w:pPr>
        <w:pStyle w:val="ListBullet"/>
      </w:pPr>
      <w:r>
        <w:t>Les principaux besoins et contraintes territoriaux sont identifiés.</w:t>
      </w:r>
    </w:p>
    <w:p>
      <w:pPr>
        <w:pStyle w:val="ListBullet"/>
      </w:pPr>
      <w:r>
        <w:t>Des recommandations spécifiques à la région de l’Est sont proposées.</w:t>
      </w:r>
    </w:p>
    <w:p>
      <w:pPr>
        <w:pStyle w:val="Heading1"/>
      </w:pPr>
      <w:r>
        <w:t>7. Livrables attendus</w:t>
      </w:r>
    </w:p>
    <w:p>
      <w:pPr>
        <w:pStyle w:val="ListBullet"/>
      </w:pPr>
      <w:r>
        <w:t>Une note de cadrage précisant les communes, l’échantillonnage et les outils.</w:t>
      </w:r>
    </w:p>
    <w:p>
      <w:pPr>
        <w:pStyle w:val="ListBullet"/>
      </w:pPr>
      <w:r>
        <w:t>Une base de données anonymisée accompagnée d’un dictionnaire des variables.</w:t>
      </w:r>
    </w:p>
    <w:p>
      <w:pPr>
        <w:pStyle w:val="ListBullet"/>
      </w:pPr>
      <w:r>
        <w:t>Un rapport d’analyse des revenus, de l’emploi, de l’habitat et de l’accès aux services.</w:t>
      </w:r>
    </w:p>
    <w:p>
      <w:pPr>
        <w:pStyle w:val="ListBullet"/>
      </w:pPr>
      <w:r>
        <w:t>Un rapport final comprenant des recommandations adaptées aux localités étudiées.</w:t>
      </w:r>
    </w:p>
    <w:p>
      <w:pPr>
        <w:pStyle w:val="Heading1"/>
      </w:pPr>
      <w:r>
        <w:t>8. Durée et calendrier indicatif</w:t>
      </w:r>
    </w:p>
    <w:p>
      <w:r>
        <w:t>La durée indicative est de huit semaines.</w:t>
      </w:r>
    </w:p>
    <w:p>
      <w:r>
        <w:t>Semaines 1–2 : cadrage et revue documentaire ; semaines 3–4 : collecte ; semaines 5–6 : traitement et analyse ; semaine 7 : rapport provisoire ; semaine 8 : restitution et rapport final.</w:t>
      </w:r>
    </w:p>
    <w:p>
      <w:pPr>
        <w:pStyle w:val="Heading1"/>
      </w:pPr>
      <w:r>
        <w:t>9. Profil de l’équipe de consultation</w:t>
      </w:r>
    </w:p>
    <w:p>
      <w:pPr>
        <w:pStyle w:val="ListBullet"/>
      </w:pPr>
      <w:r>
        <w:t>Un chef de mission en économie, sociologie ou développement rural.</w:t>
      </w:r>
    </w:p>
    <w:p>
      <w:pPr>
        <w:pStyle w:val="ListBullet"/>
      </w:pPr>
      <w:r>
        <w:t>Un spécialiste des enquêtes quantitatives et de l’analyse statistique.</w:t>
      </w:r>
    </w:p>
    <w:p>
      <w:pPr>
        <w:pStyle w:val="ListBullet"/>
      </w:pPr>
      <w:r>
        <w:t>Des enquêteurs connaissant les langues et réalités locales.</w:t>
      </w:r>
    </w:p>
    <w:p>
      <w:pPr>
        <w:pStyle w:val="Heading1"/>
      </w:pPr>
      <w:r>
        <w:t>10. Organisation et suivi</w:t>
      </w:r>
    </w:p>
    <w:p>
      <w:r>
        <w:t>Le prestataire travaillera en concertation avec le service commanditaire, qui validera la note de cadrage, les outils de collecte et les livrables intermédiaires.</w:t>
      </w:r>
    </w:p>
    <w:p>
      <w:r>
        <w:t>Les données collectées devront être documentées, anonymisées lorsque nécessaire et remises dans des formats réutilisables. Les limites de l’étude et les précautions d’interprétation devront être explicitées.</w:t>
      </w:r>
    </w:p>
    <w:p>
      <w:pPr>
        <w:pStyle w:val="Heading1"/>
      </w:pPr>
      <w:r>
        <w:t>11. Critères indicatifs de qualité</w:t>
      </w:r>
    </w:p>
    <w:p>
      <w:pPr>
        <w:pStyle w:val="ListBullet"/>
      </w:pPr>
      <w:r>
        <w:t>Pertinence et cohérence de la méthodologie proposée avec les objectifs.</w:t>
      </w:r>
    </w:p>
    <w:p>
      <w:pPr>
        <w:pStyle w:val="ListBullet"/>
      </w:pPr>
      <w:r>
        <w:t>Qualité, traçabilité et couverture des données collectées.</w:t>
      </w:r>
    </w:p>
    <w:p>
      <w:pPr>
        <w:pStyle w:val="ListBullet"/>
      </w:pPr>
      <w:r>
        <w:t>Clarté des analyses, des conclusions et des recommandations opérationnelles.</w:t>
      </w:r>
    </w:p>
    <w:p>
      <w:pPr>
        <w:pStyle w:val="ListBullet"/>
      </w:pPr>
      <w:r>
        <w:t>Respect du calendrier et des exigences de confidentialité.</w:t>
      </w:r>
    </w:p>
    <w:p>
      <w:pPr>
        <w:spacing w:before="160"/>
      </w:pPr>
      <w:r>
        <w:rPr>
          <w:b/>
        </w:rPr>
        <w:t xml:space="preserve">Note de test : </w:t>
      </w:r>
      <w:r>
        <w:t>Ce document représente le cas où les objectifs et les dimensions d’analyse sont proches de ceux du TDR de référence TDR-STA-016, mais où la zone géographique est différente. La plateforme devrait signaler la proximité des objectifs tout en précisant que les résultats du Centre-Sud ne remplacent pas une étude propre à l’Est.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