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TERMES DE RÉFÉRENCE (TDR)</w:t>
      </w:r>
    </w:p>
    <w:p>
      <w:pPr>
        <w:jc w:val="center"/>
      </w:pPr>
      <w:r>
        <w:rPr>
          <w:i/>
          <w:sz w:val="22"/>
        </w:rPr>
        <w:t>Étude sur l’évolution des accidents de la circulation routière au Burkina Faso de 2022 à 2025</w:t>
      </w:r>
    </w:p>
    <w:p>
      <w:r>
        <w:rPr>
          <w:b/>
        </w:rPr>
        <w:t xml:space="preserve">Intitulé de l’étude : </w:t>
      </w:r>
      <w:r>
        <w:t>Analyse de l’évolution, de la fréquence et de la gravité des accidents de la circulation routière au Burkina Faso, période 2022–2025.</w:t>
      </w:r>
    </w:p>
    <w:p>
      <w:r>
        <w:rPr>
          <w:b/>
        </w:rPr>
        <w:t xml:space="preserve">Zone d’étude : </w:t>
      </w:r>
      <w:r>
        <w:t>Ensemble du territoire national du Burkina Faso.</w:t>
      </w:r>
    </w:p>
    <w:p>
      <w:r>
        <w:rPr>
          <w:b/>
        </w:rPr>
        <w:t xml:space="preserve">Période : </w:t>
      </w:r>
      <w:r>
        <w:t>1er janvier 2022 au 31 décembre 2025.</w:t>
      </w:r>
    </w:p>
    <w:p>
      <w:r>
        <w:rPr>
          <w:b/>
        </w:rPr>
        <w:t xml:space="preserve">Type de document : </w:t>
      </w:r>
      <w:r>
        <w:t>Termes de référence pour une étude statistique et descriptive.</w:t>
      </w:r>
    </w:p>
    <w:p>
      <w:pPr>
        <w:pStyle w:val="Heading1"/>
      </w:pPr>
      <w:r>
        <w:t>1. Contexte et justification</w:t>
      </w:r>
    </w:p>
    <w:p>
      <w:r>
        <w:t>Les accidents de la circulation routière constituent un enjeu important de sécurité publique, de santé et de mobilité au Burkina Faso. Les statistiques de l’Office national de la sécurité routière (ONASER) montrent 24 686 accidents constatés en 2022, 22 156 en 2023 et 22 702 en 2024. Ces accidents ont également entraîné un nombre important de personnes tuées et blessées. Une analyse couvrant 2022–2025 permettra d’identifier les tendances, les variations annuelles et les principaux indicateurs de gravité.</w:t>
      </w:r>
    </w:p>
    <w:p>
      <w:r>
        <w:t>Pour 2025, les données disponibles dans les sources consultées ne sont pas directement homogènes avec la série ONASER 2022–2024. La Brigade nationale de sapeurs-pompiers (BNSP) a notamment communiqué 15 614 accidents de la route, 20 617 évacuations sanitaires et 345 décès en 2025. Cette différence de périmètre et de méthode de comptage devra être explicitement prise en compte dans l’analyse.</w:t>
      </w:r>
    </w:p>
    <w:p>
      <w:pPr>
        <w:pStyle w:val="Heading1"/>
      </w:pPr>
      <w:r>
        <w:t>2. Problématique</w:t>
      </w:r>
    </w:p>
    <w:p>
      <w:r>
        <w:t>Comment le nombre d’accidents de la circulation routière a-t-il évolué au Burkina Faso entre 2022 et 2025, quelles sont les principales tendances observables et quelles implications peuvent être dégagées pour la prévention et la sécurité routière ?</w:t>
      </w:r>
    </w:p>
    <w:p>
      <w:pPr>
        <w:pStyle w:val="Heading1"/>
      </w:pPr>
      <w:r>
        <w:t>3. Objectif général</w:t>
      </w:r>
    </w:p>
    <w:p>
      <w:r>
        <w:t>Analyser l’évolution du nombre et de la gravité des accidents de la circulation routière au Burkina Faso sur la période 2022–2025.</w:t>
      </w:r>
    </w:p>
    <w:p>
      <w:pPr>
        <w:pStyle w:val="Heading1"/>
      </w:pPr>
      <w:r>
        <w:t>4. Objectifs spécifiques</w:t>
      </w:r>
    </w:p>
    <w:p>
      <w:pPr>
        <w:pStyle w:val="ListBullet"/>
      </w:pPr>
      <w:r>
        <w:t>Présenter l’évolution annuelle du nombre d’accidents sur la période étudiée.</w:t>
      </w:r>
    </w:p>
    <w:p>
      <w:pPr>
        <w:pStyle w:val="ListBullet"/>
      </w:pPr>
      <w:r>
        <w:t>Comparer le nombre de personnes tuées et blessées associé aux accidents lorsque les données sont disponibles et comparables.</w:t>
      </w:r>
    </w:p>
    <w:p>
      <w:pPr>
        <w:pStyle w:val="ListBullet"/>
      </w:pPr>
      <w:r>
        <w:t>Calculer les variations annuelles et identifier les périodes d’augmentation ou de diminution.</w:t>
      </w:r>
    </w:p>
    <w:p>
      <w:pPr>
        <w:pStyle w:val="ListBullet"/>
      </w:pPr>
      <w:r>
        <w:t>Identifier les limites liées aux sources, aux méthodes de collecte et aux périmètres statistiques.</w:t>
      </w:r>
    </w:p>
    <w:p>
      <w:pPr>
        <w:pStyle w:val="ListBullet"/>
      </w:pPr>
      <w:r>
        <w:t>Formuler des recommandations pour améliorer la prévention des accidents et le suivi statistique.</w:t>
      </w:r>
    </w:p>
    <w:p>
      <w:pPr>
        <w:pStyle w:val="Heading1"/>
      </w:pPr>
      <w:r>
        <w:t>5. Questions de recherche</w:t>
      </w:r>
    </w:p>
    <w:p>
      <w:pPr>
        <w:pStyle w:val="ListBullet"/>
      </w:pPr>
      <w:r>
        <w:t>Quelle est l’évolution du nombre d’accidents entre 2022 et 2025 ?</w:t>
      </w:r>
    </w:p>
    <w:p>
      <w:pPr>
        <w:pStyle w:val="ListBullet"/>
      </w:pPr>
      <w:r>
        <w:t>Comment évoluent les décès et les blessures associés aux accidents ?</w:t>
      </w:r>
    </w:p>
    <w:p>
      <w:pPr>
        <w:pStyle w:val="ListBullet"/>
      </w:pPr>
      <w:r>
        <w:t>Quelles années présentent les niveaux les plus élevés ou les plus faibles ?</w:t>
      </w:r>
    </w:p>
    <w:p>
      <w:pPr>
        <w:pStyle w:val="ListBullet"/>
      </w:pPr>
      <w:r>
        <w:t>Quelles différences de définition ou de collecte expliquent les écarts entre sources ?</w:t>
      </w:r>
    </w:p>
    <w:p>
      <w:pPr>
        <w:pStyle w:val="ListBullet"/>
      </w:pPr>
      <w:r>
        <w:t>Quelles actions de sécurité routière peuvent être priorisées à partir des résultats ?</w:t>
      </w:r>
    </w:p>
    <w:p>
      <w:pPr>
        <w:pStyle w:val="Heading1"/>
      </w:pPr>
      <w:r>
        <w:t>6. Méthodologie</w:t>
      </w:r>
    </w:p>
    <w:p>
      <w:r>
        <w:t>L’étude reposera principalement sur une analyse documentaire et statistique. Les données seront collectées à partir des publications institutionnelles de l’ONASER, du ministère chargé des transports et de la BNSP, puis vérifiées par comparaison entre sources.</w:t>
      </w:r>
    </w:p>
    <w:p>
      <w:pPr>
        <w:pStyle w:val="ListBullet"/>
      </w:pPr>
      <w:r>
        <w:t>Compilation des données annuelles disponibles pour 2022, 2023, 2024 et 2025.</w:t>
      </w:r>
    </w:p>
    <w:p>
      <w:pPr>
        <w:pStyle w:val="ListBullet"/>
      </w:pPr>
      <w:r>
        <w:t>Calcul des écarts absolus et des taux de variation annuels.</w:t>
      </w:r>
    </w:p>
    <w:p>
      <w:pPr>
        <w:pStyle w:val="ListBullet"/>
      </w:pPr>
      <w:r>
        <w:t>Analyse séparée des accidents, des tués, des blessés et, lorsque pertinent, des interventions ou évacuations.</w:t>
      </w:r>
    </w:p>
    <w:p>
      <w:pPr>
        <w:pStyle w:val="ListBullet"/>
      </w:pPr>
      <w:r>
        <w:t>Présentation des résultats sous forme de tableaux et graphiques.</w:t>
      </w:r>
    </w:p>
    <w:p>
      <w:pPr>
        <w:pStyle w:val="ListBullet"/>
      </w:pPr>
      <w:r>
        <w:t>Distinction explicite entre les séries statistiques qui ne reposent pas sur le même périmètre de collecte.</w:t>
      </w:r>
    </w:p>
    <w:p>
      <w:pPr>
        <w:pStyle w:val="Heading1"/>
      </w:pPr>
      <w:r>
        <w:t>7. Indicateurs à analyser</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b/>
              </w:rPr>
              <w:t>Indicateur</w:t>
            </w:r>
          </w:p>
        </w:tc>
        <w:tc>
          <w:tcPr>
            <w:tcW w:type="dxa" w:w="3249"/>
          </w:tcPr>
          <w:p>
            <w:r>
              <w:rPr>
                <w:b/>
              </w:rPr>
              <w:t>Unité</w:t>
            </w:r>
          </w:p>
        </w:tc>
        <w:tc>
          <w:tcPr>
            <w:tcW w:type="dxa" w:w="3249"/>
          </w:tcPr>
          <w:p>
            <w:r>
              <w:rPr>
                <w:b/>
              </w:rPr>
              <w:t>Période</w:t>
            </w:r>
          </w:p>
        </w:tc>
      </w:tr>
      <w:tr>
        <w:tc>
          <w:tcPr>
            <w:tcW w:type="dxa" w:w="3249"/>
            <w:vAlign w:val="center"/>
          </w:tcPr>
          <w:p>
            <w:r>
              <w:t>Nombre d’accidents</w:t>
            </w:r>
          </w:p>
        </w:tc>
        <w:tc>
          <w:tcPr>
            <w:tcW w:type="dxa" w:w="3249"/>
            <w:vAlign w:val="center"/>
          </w:tcPr>
          <w:p>
            <w:r>
              <w:t>Nombre de cas</w:t>
            </w:r>
          </w:p>
        </w:tc>
        <w:tc>
          <w:tcPr>
            <w:tcW w:type="dxa" w:w="3249"/>
            <w:vAlign w:val="center"/>
          </w:tcPr>
          <w:p>
            <w:r>
              <w:t>2022–2025</w:t>
            </w:r>
          </w:p>
        </w:tc>
      </w:tr>
      <w:tr>
        <w:tc>
          <w:tcPr>
            <w:tcW w:type="dxa" w:w="3249"/>
            <w:vAlign w:val="center"/>
          </w:tcPr>
          <w:p>
            <w:r>
              <w:t>Nombre de personnes tuées</w:t>
            </w:r>
          </w:p>
        </w:tc>
        <w:tc>
          <w:tcPr>
            <w:tcW w:type="dxa" w:w="3249"/>
            <w:vAlign w:val="center"/>
          </w:tcPr>
          <w:p>
            <w:r>
              <w:t>Personnes</w:t>
            </w:r>
          </w:p>
        </w:tc>
        <w:tc>
          <w:tcPr>
            <w:tcW w:type="dxa" w:w="3249"/>
            <w:vAlign w:val="center"/>
          </w:tcPr>
          <w:p>
            <w:r>
              <w:t>2022–2025 selon disponibilité</w:t>
            </w:r>
          </w:p>
        </w:tc>
      </w:tr>
      <w:tr>
        <w:tc>
          <w:tcPr>
            <w:tcW w:type="dxa" w:w="3249"/>
            <w:vAlign w:val="center"/>
          </w:tcPr>
          <w:p>
            <w:r>
              <w:t>Nombre de blessés</w:t>
            </w:r>
          </w:p>
        </w:tc>
        <w:tc>
          <w:tcPr>
            <w:tcW w:type="dxa" w:w="3249"/>
            <w:vAlign w:val="center"/>
          </w:tcPr>
          <w:p>
            <w:r>
              <w:t>Personnes</w:t>
            </w:r>
          </w:p>
        </w:tc>
        <w:tc>
          <w:tcPr>
            <w:tcW w:type="dxa" w:w="3249"/>
            <w:vAlign w:val="center"/>
          </w:tcPr>
          <w:p>
            <w:r>
              <w:t>2022–2025 selon disponibilité</w:t>
            </w:r>
          </w:p>
        </w:tc>
      </w:tr>
      <w:tr>
        <w:tc>
          <w:tcPr>
            <w:tcW w:type="dxa" w:w="3249"/>
            <w:vAlign w:val="center"/>
          </w:tcPr>
          <w:p>
            <w:r>
              <w:t>Variation annuelle</w:t>
            </w:r>
          </w:p>
        </w:tc>
        <w:tc>
          <w:tcPr>
            <w:tcW w:type="dxa" w:w="3249"/>
            <w:vAlign w:val="center"/>
          </w:tcPr>
          <w:p>
            <w:r>
              <w:t>%</w:t>
            </w:r>
          </w:p>
        </w:tc>
        <w:tc>
          <w:tcPr>
            <w:tcW w:type="dxa" w:w="3249"/>
            <w:vAlign w:val="center"/>
          </w:tcPr>
          <w:p>
            <w:r>
              <w:t>2023–2025</w:t>
            </w:r>
          </w:p>
        </w:tc>
      </w:tr>
      <w:tr>
        <w:tc>
          <w:tcPr>
            <w:tcW w:type="dxa" w:w="3249"/>
            <w:vAlign w:val="center"/>
          </w:tcPr>
          <w:p>
            <w:r>
              <w:t>Taux d’accidents pour 10 000 véhicules</w:t>
            </w:r>
          </w:p>
        </w:tc>
        <w:tc>
          <w:tcPr>
            <w:tcW w:type="dxa" w:w="3249"/>
            <w:vAlign w:val="center"/>
          </w:tcPr>
          <w:p>
            <w:r>
              <w:t>Taux</w:t>
            </w:r>
          </w:p>
        </w:tc>
        <w:tc>
          <w:tcPr>
            <w:tcW w:type="dxa" w:w="3249"/>
            <w:vAlign w:val="center"/>
          </w:tcPr>
          <w:p>
            <w:r>
              <w:t>Selon disponibilité</w:t>
            </w:r>
          </w:p>
        </w:tc>
      </w:tr>
      <w:tr>
        <w:tc>
          <w:tcPr>
            <w:tcW w:type="dxa" w:w="3249"/>
            <w:vAlign w:val="center"/>
          </w:tcPr>
          <w:p>
            <w:r>
              <w:t>Nombre de tués pour 100 000 habitants</w:t>
            </w:r>
          </w:p>
        </w:tc>
        <w:tc>
          <w:tcPr>
            <w:tcW w:type="dxa" w:w="3249"/>
            <w:vAlign w:val="center"/>
          </w:tcPr>
          <w:p>
            <w:r>
              <w:t>Taux</w:t>
            </w:r>
          </w:p>
        </w:tc>
        <w:tc>
          <w:tcPr>
            <w:tcW w:type="dxa" w:w="3249"/>
            <w:vAlign w:val="center"/>
          </w:tcPr>
          <w:p>
            <w:r>
              <w:t>Selon disponibilité</w:t>
            </w:r>
          </w:p>
        </w:tc>
      </w:tr>
    </w:tbl>
    <w:p>
      <w:pPr>
        <w:pStyle w:val="Heading1"/>
      </w:pPr>
      <w:r>
        <w:t>8. Résultats attendus</w:t>
      </w:r>
    </w:p>
    <w:p>
      <w:pPr>
        <w:pStyle w:val="ListBullet"/>
      </w:pPr>
      <w:r>
        <w:t>Une série chronologique documentée des accidents sur 2022–2025.</w:t>
      </w:r>
    </w:p>
    <w:p>
      <w:pPr>
        <w:pStyle w:val="ListBullet"/>
      </w:pPr>
      <w:r>
        <w:t>Une comparaison des principaux indicateurs de gravité.</w:t>
      </w:r>
    </w:p>
    <w:p>
      <w:pPr>
        <w:pStyle w:val="ListBullet"/>
      </w:pPr>
      <w:r>
        <w:t>Une identification des tendances et variations annuelles.</w:t>
      </w:r>
    </w:p>
    <w:p>
      <w:pPr>
        <w:pStyle w:val="ListBullet"/>
      </w:pPr>
      <w:r>
        <w:t>Une discussion des limites et de la comparabilité des sources.</w:t>
      </w:r>
    </w:p>
    <w:p>
      <w:pPr>
        <w:pStyle w:val="ListBullet"/>
      </w:pPr>
      <w:r>
        <w:t>Des recommandations opérationnelles pour la prévention et l’amélioration du suivi statistique.</w:t>
      </w:r>
    </w:p>
    <w:p>
      <w:pPr>
        <w:pStyle w:val="Heading1"/>
      </w:pPr>
      <w:r>
        <w:t>9. Livrables</w:t>
      </w:r>
    </w:p>
    <w:p>
      <w:pPr>
        <w:pStyle w:val="ListBullet"/>
      </w:pPr>
      <w:r>
        <w:t>Rapport d’étude final en format Word et PDF.</w:t>
      </w:r>
    </w:p>
    <w:p>
      <w:pPr>
        <w:pStyle w:val="ListBullet"/>
      </w:pPr>
      <w:r>
        <w:t>Tableau récapitulatif des statistiques 2022–2025.</w:t>
      </w:r>
    </w:p>
    <w:p>
      <w:pPr>
        <w:pStyle w:val="ListBullet"/>
      </w:pPr>
      <w:r>
        <w:t>Graphiques d’évolution annuelle.</w:t>
      </w:r>
    </w:p>
    <w:p>
      <w:pPr>
        <w:pStyle w:val="ListBullet"/>
      </w:pPr>
      <w:r>
        <w:t>Synthèse des principaux constats et recommandations.</w:t>
      </w:r>
    </w:p>
    <w:p>
      <w:pPr>
        <w:pStyle w:val="Heading1"/>
      </w:pPr>
      <w:r>
        <w:t>10. Sources indicatives</w:t>
      </w:r>
    </w:p>
    <w:p>
      <w:pPr>
        <w:pStyle w:val="ListBullet"/>
      </w:pPr>
      <w:r>
        <w:t>ONASER / Ministère des Transports — Annuaire statistique 2024 du secteur des transports.</w:t>
      </w:r>
    </w:p>
    <w:p>
      <w:pPr>
        <w:pStyle w:val="ListBullet"/>
      </w:pPr>
      <w:r>
        <w:t>Ministère de la Sécurité — Bulletin statistique trimestriel, 3e trimestre 2025.</w:t>
      </w:r>
    </w:p>
    <w:p>
      <w:pPr>
        <w:pStyle w:val="ListBullet"/>
      </w:pPr>
      <w:r>
        <w:t>Brigade nationale de sapeurs-pompiers — bilan annuel des interventions 2025.</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