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BURKINA FASO</w:t>
        <w:br/>
        <w:t>DOCUMENT FICTIF — TEST TDRDOC-SCAN</w:t>
      </w:r>
    </w:p>
    <w:p>
      <w:pPr>
        <w:pStyle w:val="Title"/>
      </w:pPr>
      <w:r>
        <w:t>Enquête sur les conditions socioéconomiques des ménages ruraux dans le Centre-Sud</w:t>
      </w:r>
    </w:p>
    <w:p>
      <w:r>
        <w:t>Référence : TDR_TEST_01 | Année : 2026</w:t>
      </w:r>
    </w:p>
    <w:p>
      <w:r>
        <w:t>Classe attendue : DOUBLON PROBABLE</w:t>
      </w:r>
    </w:p>
    <w:p>
      <w:r>
        <w:t>Cette classe est une vérité terrain prévue pour évaluer le détecteur ; elle ne constitue pas une conclusion administrative.</w:t>
      </w:r>
    </w:p>
    <w:p>
      <w:pPr>
        <w:pStyle w:val="Heading1"/>
      </w:pPr>
      <w:r>
        <w:t>1. Contexte et justification</w:t>
      </w:r>
    </w:p>
    <w:p>
      <w:r>
        <w:t>Les acteurs publics ont besoin d’informations actualisées pour orienter les interventions et améliorer la planification. La présente mission porte sur enquête sur les conditions socioéconomiques des ménages ruraux dans le centre-sud. Les données devront décrire les réalités locales, permettre des comparaisons pertinentes et éclairer les décisions.</w:t>
      </w:r>
    </w:p>
    <w:p>
      <w:pPr>
        <w:pStyle w:val="Heading1"/>
      </w:pPr>
      <w:r>
        <w:t>2. Objectifs et champ de l’étude</w:t>
      </w:r>
    </w:p>
    <w:p>
      <w:r>
        <w:t>Objectif général : produire des informations fiables et exploitables sur le thème étudié afin d’appuyer les décisions des acteurs concernés.</w:t>
      </w:r>
    </w:p>
    <w:p>
      <w:pPr>
        <w:pStyle w:val="Heading2"/>
      </w:pPr>
      <w:r>
        <w:t>Objectifs spécifiques</w:t>
      </w:r>
    </w:p>
    <w:p>
      <w:pPr>
        <w:pStyle w:val="ListNumber"/>
      </w:pPr>
      <w:r>
        <w:t>Décrire les revenus, les activités professionnelles, l’habitat et l’accès aux services essentiels.</w:t>
      </w:r>
    </w:p>
    <w:p>
      <w:pPr>
        <w:pStyle w:val="ListNumber"/>
      </w:pPr>
      <w:r>
        <w:t>Analyser les facteurs économiques, sociaux et institutionnels qui influencent les conditions de vie.</w:t>
      </w:r>
    </w:p>
    <w:p>
      <w:pPr>
        <w:pStyle w:val="ListNumber"/>
      </w:pPr>
      <w:r>
        <w:t>Documenter les initiatives locales et proposer des recommandations opérationnelles.</w:t>
      </w:r>
    </w:p>
    <w:p>
      <w:r>
        <w:t>Zone d’étude : Centre-Sud, Zoundwéogo et Bazèga.</w:t>
      </w:r>
    </w:p>
    <w:p>
      <w:r>
        <w:t>Secteur : Statistique / développement socioéconomique.</w:t>
      </w:r>
    </w:p>
    <w:p>
      <w:r>
        <w:t>Population concernée : Ménages ruraux, acteurs locaux et services déconcentrés.</w:t>
      </w:r>
    </w:p>
    <w:p>
      <w:pPr>
        <w:pStyle w:val="Heading1"/>
      </w:pPr>
      <w:r>
        <w:t>3. Résultats attendus</w:t>
      </w:r>
    </w:p>
    <w:p>
      <w:r>
        <w:t>Diagnostic socioéconomique, écarts et contraintes documentés, données en tableaux et graphiques, recommandations priorisées.</w:t>
      </w:r>
    </w:p>
    <w:p>
      <w:pPr>
        <w:pStyle w:val="Heading1"/>
      </w:pPr>
      <w:r>
        <w:t>4. Méthodologie</w:t>
      </w:r>
    </w:p>
    <w:p>
      <w:r>
        <w:t>Revue documentaire, enquête quantitative, entretiens semi-directifs, observations de terrain et restitution.</w:t>
      </w:r>
    </w:p>
    <w:p>
      <w:pPr>
        <w:pStyle w:val="Heading1"/>
      </w:pPr>
      <w:r>
        <w:t>5. Mandat du bureau d’études</w:t>
      </w:r>
    </w:p>
    <w:p>
      <w:pPr>
        <w:pStyle w:val="ListNumber"/>
      </w:pPr>
      <w:r>
        <w:t>Organiser une réunion de cadrage avec le comité de suivi.</w:t>
      </w:r>
    </w:p>
    <w:p>
      <w:pPr>
        <w:pStyle w:val="ListNumber"/>
      </w:pPr>
      <w:r>
        <w:t>Proposer les outils de collecte et les soumettre à validation.</w:t>
      </w:r>
    </w:p>
    <w:p>
      <w:pPr>
        <w:pStyle w:val="ListNumber"/>
      </w:pPr>
      <w:r>
        <w:t>Réaliser la collecte et contrôler la qualité des données.</w:t>
      </w:r>
    </w:p>
    <w:p>
      <w:pPr>
        <w:pStyle w:val="ListNumber"/>
      </w:pPr>
      <w:r>
        <w:t>Analyser les résultats et présenter les constats provisoires.</w:t>
      </w:r>
    </w:p>
    <w:p>
      <w:pPr>
        <w:pStyle w:val="ListNumber"/>
      </w:pPr>
      <w:r>
        <w:t>Intégrer les observations et remettre les livrables finaux.</w:t>
      </w:r>
    </w:p>
    <w:p>
      <w:pPr>
        <w:pStyle w:val="Heading1"/>
      </w:pPr>
      <w:r>
        <w:t>6. Profil du prestataire</w:t>
      </w:r>
    </w:p>
    <w:p>
      <w:r>
        <w:t>Le cabinet devra justifier d’une expérience pertinente dans la conduite d’enquêtes comparables. L’équipe comprendra un chef de mission, un spécialiste du domaine, un statisticien ou analyste de données et des agents de collecte selon les besoins.</w:t>
      </w:r>
    </w:p>
    <w:p>
      <w:pPr>
        <w:pStyle w:val="Heading1"/>
      </w:pPr>
      <w:r>
        <w:t>7. Livrables</w:t>
      </w:r>
    </w:p>
    <w:p>
      <w:pPr>
        <w:pStyle w:val="ListBullet"/>
      </w:pPr>
      <w:r>
        <w:t>Rapport de démarrage et outils validés.</w:t>
      </w:r>
    </w:p>
    <w:p>
      <w:pPr>
        <w:pStyle w:val="ListBullet"/>
      </w:pPr>
      <w:r>
        <w:t>Note de collecte et base de données documentée.</w:t>
      </w:r>
    </w:p>
    <w:p>
      <w:pPr>
        <w:pStyle w:val="ListBullet"/>
      </w:pPr>
      <w:r>
        <w:t>Rapport provisoire avec tableaux et analyses.</w:t>
      </w:r>
    </w:p>
    <w:p>
      <w:pPr>
        <w:pStyle w:val="ListBullet"/>
      </w:pPr>
      <w:r>
        <w:t>Support de restitution.</w:t>
      </w:r>
    </w:p>
    <w:p>
      <w:pPr>
        <w:pStyle w:val="ListBullet"/>
      </w:pPr>
      <w:r>
        <w:t>Rapport final et annexes techniques.</w:t>
      </w:r>
    </w:p>
    <w:p>
      <w:pPr>
        <w:pStyle w:val="Heading1"/>
      </w:pPr>
      <w:r>
        <w:t>8. Durée et budget indicatifs</w:t>
      </w:r>
    </w:p>
    <w:p>
      <w:r>
        <w:t>Durée indicative : 30 jours. Budget prévisionnel : 8 200 000 FCFA. Montants fictifs réservés aux essais.</w:t>
      </w:r>
    </w:p>
    <w:p>
      <w:pPr>
        <w:pStyle w:val="Heading1"/>
      </w:pPr>
      <w:r>
        <w:t>9. Coordination et gestion des données</w:t>
      </w:r>
    </w:p>
    <w:p>
      <w:r>
        <w:t>Un comité de suivi validera les outils et examinera les résultats. Les données seront protégées, documentées et remises au maître d’ouvrage dans un format exploitable.</w:t>
      </w:r>
    </w:p>
    <w:p>
      <w:r>
        <w:t>Fin du document — corpus synthétique de test, sans valeur administrative.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