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Analyse complémentaire : Étude de faisabilité d’un dispositif de services administratifs numériques communaux</w:t>
      </w:r>
    </w:p>
    <w:p>
      <w:pPr>
        <w:jc w:val="center"/>
      </w:pPr>
      <w:r>
        <w:rPr>
          <w:i/>
          <w:sz w:val="22"/>
        </w:rPr>
        <w:t>Rapport d’étude fictif sur dématérialisation, connectivité, archivage, accompagnement des usagers</w:t>
      </w:r>
    </w:p>
    <w:p>
      <w:pPr>
        <w:jc w:val="center"/>
      </w:pPr>
      <w:r>
        <w:rPr>
          <w:sz w:val="20"/>
        </w:rPr>
        <w:br/>
        <w:t>Référence : RAP-NUM-087</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r>
        <w:tc>
          <w:tcPr>
            <w:tcW w:type="dxa" w:w="4968"/>
            <w:vAlign w:val="center"/>
          </w:tcPr>
          <w:p>
            <w:r/>
            <w:r>
              <w:rPr>
                <w:b w:val="0"/>
                <w:sz w:val="18"/>
              </w:rPr>
              <w:t>TIC</w:t>
            </w:r>
          </w:p>
        </w:tc>
        <w:tc>
          <w:tcPr>
            <w:tcW w:type="dxa" w:w="4968"/>
            <w:vAlign w:val="center"/>
          </w:tcPr>
          <w:p>
            <w:r/>
            <w:r>
              <w:rPr>
                <w:b w:val="0"/>
                <w:sz w:val="18"/>
              </w:rPr>
              <w:t>Technologies de l’information et de la communication</w:t>
            </w:r>
          </w:p>
        </w:tc>
      </w:tr>
    </w:tbl>
    <w:p/>
    <w:p>
      <w:pPr>
        <w:pStyle w:val="Heading1"/>
      </w:pPr>
      <w:r>
        <w:t>RÉSUMÉ EXÉCUTIF</w:t>
      </w:r>
    </w:p>
    <w:p>
      <w:r>
        <w:t>Cette étude porte sur dématérialisation, connectivité, archivage, accompagnement des usagers dans les zones de Centre, Kadiogo, Oubritenga.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dématérialisation, connectivité, archivage, accompagnement des usagers.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dématérialisation, connectivité, archivage, accompagnement des usagers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dématérialisation, connectivité, archivage, accompagnement des usagers,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Centre, Kadiogo, Oubritenga.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562</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208</w:t>
            </w:r>
          </w:p>
        </w:tc>
        <w:tc>
          <w:tcPr>
            <w:tcW w:type="dxa" w:w="3312"/>
            <w:vAlign w:val="center"/>
          </w:tcPr>
          <w:p>
            <w:r/>
            <w:r>
              <w:rPr>
                <w:b w:val="0"/>
                <w:sz w:val="18"/>
              </w:rPr>
              <w:t>37,0</w:t>
            </w:r>
          </w:p>
        </w:tc>
      </w:tr>
      <w:tr>
        <w:tc>
          <w:tcPr>
            <w:tcW w:type="dxa" w:w="3312"/>
            <w:vAlign w:val="center"/>
          </w:tcPr>
          <w:p>
            <w:r/>
            <w:r>
              <w:rPr>
                <w:b w:val="0"/>
                <w:sz w:val="18"/>
              </w:rPr>
              <w:t>Zone rurale</w:t>
            </w:r>
          </w:p>
        </w:tc>
        <w:tc>
          <w:tcPr>
            <w:tcW w:type="dxa" w:w="3312"/>
            <w:vAlign w:val="center"/>
          </w:tcPr>
          <w:p>
            <w:r/>
            <w:r>
              <w:rPr>
                <w:b w:val="0"/>
                <w:sz w:val="18"/>
              </w:rPr>
              <w:t>354</w:t>
            </w:r>
          </w:p>
        </w:tc>
        <w:tc>
          <w:tcPr>
            <w:tcW w:type="dxa" w:w="3312"/>
            <w:vAlign w:val="center"/>
          </w:tcPr>
          <w:p>
            <w:r/>
            <w:r>
              <w:rPr>
                <w:b w:val="0"/>
                <w:sz w:val="18"/>
              </w:rPr>
              <w:t>63,0</w:t>
            </w:r>
          </w:p>
        </w:tc>
      </w:tr>
      <w:tr>
        <w:tc>
          <w:tcPr>
            <w:tcW w:type="dxa" w:w="3312"/>
            <w:vAlign w:val="center"/>
          </w:tcPr>
          <w:p>
            <w:r/>
            <w:r>
              <w:rPr>
                <w:b w:val="0"/>
                <w:sz w:val="18"/>
              </w:rPr>
              <w:t>Femmes / unités dirigées par une femme</w:t>
            </w:r>
          </w:p>
        </w:tc>
        <w:tc>
          <w:tcPr>
            <w:tcW w:type="dxa" w:w="3312"/>
            <w:vAlign w:val="center"/>
          </w:tcPr>
          <w:p>
            <w:r/>
            <w:r>
              <w:rPr>
                <w:b w:val="0"/>
                <w:sz w:val="18"/>
              </w:rPr>
              <w:t>247</w:t>
            </w:r>
          </w:p>
        </w:tc>
        <w:tc>
          <w:tcPr>
            <w:tcW w:type="dxa" w:w="3312"/>
            <w:vAlign w:val="center"/>
          </w:tcPr>
          <w:p>
            <w:r/>
            <w:r>
              <w:rPr>
                <w:b w:val="0"/>
                <w:sz w:val="18"/>
              </w:rPr>
              <w:t>44,0</w:t>
            </w:r>
          </w:p>
        </w:tc>
      </w:tr>
    </w:tbl>
    <w:p/>
    <w:p>
      <w:pPr>
        <w:pStyle w:val="Heading1"/>
      </w:pPr>
      <w:r>
        <w:t>IV. ANALYSE DES PRINCIPAUX RÉSULTATS</w:t>
      </w:r>
    </w:p>
    <w:p>
      <w:pPr>
        <w:pStyle w:val="Heading2"/>
      </w:pPr>
      <w:r>
        <w:t>IV.1. Situation générale</w:t>
      </w:r>
    </w:p>
    <w:p>
      <w:r>
        <w:t>Les données recueillies indiquent que la situation concernant dématérialisation, connectivité, archivage, accompagnement des usagers reste variable selon les zones. Les unités les mieux desservies disposent généralement de ressources plus régulières, tandis que les zones périphériques font davantage face à des contraintes d’accès, de financement ou de maintenance.</w:t>
      </w:r>
    </w:p>
    <w:p>
      <w:r>
        <w:t>Les échanges réalisés suggèrent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58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30</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12</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dématérialisation, connectivité, archivage, accompagnement des usagers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dématérialisation, connectivité, archivage, accompagnement des usagers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