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Étude de restauration des terres dégradées par les techniques de gestion durable</w:t>
      </w:r>
    </w:p>
    <w:p>
      <w:pPr>
        <w:jc w:val="center"/>
      </w:pPr>
      <w:r>
        <w:rPr>
          <w:i/>
          <w:sz w:val="22"/>
        </w:rPr>
        <w:t>Rapport d’étude fictif sur récupération des sols, cordons pierreux, zaï, régénération naturelle</w:t>
      </w:r>
    </w:p>
    <w:p>
      <w:pPr>
        <w:jc w:val="center"/>
      </w:pPr>
      <w:r>
        <w:rPr>
          <w:sz w:val="20"/>
        </w:rPr>
        <w:br/>
        <w:t>Référence : RAP-ENV-005</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récupération des sols, cordons pierreux, zaï, régénération naturelle dans les zones de Nord, Passoré, Zondoma.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récupération des sols, cordons pierreux, zaï, régénération naturelle.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récupération des sols, cordons pierreux, zaï, régénération naturelle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récupération des sols, cordons pierreux, zaï, régénération naturelle,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Nord, Passoré, Zondoma.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568</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358</w:t>
            </w:r>
          </w:p>
        </w:tc>
        <w:tc>
          <w:tcPr>
            <w:tcW w:type="dxa" w:w="3312"/>
            <w:vAlign w:val="center"/>
          </w:tcPr>
          <w:p>
            <w:r/>
            <w:r>
              <w:rPr>
                <w:b w:val="0"/>
                <w:sz w:val="18"/>
              </w:rPr>
              <w:t>63,0</w:t>
            </w:r>
          </w:p>
        </w:tc>
      </w:tr>
      <w:tr>
        <w:tc>
          <w:tcPr>
            <w:tcW w:type="dxa" w:w="3312"/>
            <w:vAlign w:val="center"/>
          </w:tcPr>
          <w:p>
            <w:r/>
            <w:r>
              <w:rPr>
                <w:b w:val="0"/>
                <w:sz w:val="18"/>
              </w:rPr>
              <w:t>Zone rurale</w:t>
            </w:r>
          </w:p>
        </w:tc>
        <w:tc>
          <w:tcPr>
            <w:tcW w:type="dxa" w:w="3312"/>
            <w:vAlign w:val="center"/>
          </w:tcPr>
          <w:p>
            <w:r/>
            <w:r>
              <w:rPr>
                <w:b w:val="0"/>
                <w:sz w:val="18"/>
              </w:rPr>
              <w:t>210</w:t>
            </w:r>
          </w:p>
        </w:tc>
        <w:tc>
          <w:tcPr>
            <w:tcW w:type="dxa" w:w="3312"/>
            <w:vAlign w:val="center"/>
          </w:tcPr>
          <w:p>
            <w:r/>
            <w:r>
              <w:rPr>
                <w:b w:val="0"/>
                <w:sz w:val="18"/>
              </w:rPr>
              <w:t>37,0</w:t>
            </w:r>
          </w:p>
        </w:tc>
      </w:tr>
      <w:tr>
        <w:tc>
          <w:tcPr>
            <w:tcW w:type="dxa" w:w="3312"/>
            <w:vAlign w:val="center"/>
          </w:tcPr>
          <w:p>
            <w:r/>
            <w:r>
              <w:rPr>
                <w:b w:val="0"/>
                <w:sz w:val="18"/>
              </w:rPr>
              <w:t>Femmes / unités dirigées par une femme</w:t>
            </w:r>
          </w:p>
        </w:tc>
        <w:tc>
          <w:tcPr>
            <w:tcW w:type="dxa" w:w="3312"/>
            <w:vAlign w:val="center"/>
          </w:tcPr>
          <w:p>
            <w:r/>
            <w:r>
              <w:rPr>
                <w:b w:val="0"/>
                <w:sz w:val="18"/>
              </w:rPr>
              <w:t>261</w:t>
            </w:r>
          </w:p>
        </w:tc>
        <w:tc>
          <w:tcPr>
            <w:tcW w:type="dxa" w:w="3312"/>
            <w:vAlign w:val="center"/>
          </w:tcPr>
          <w:p>
            <w:r/>
            <w:r>
              <w:rPr>
                <w:b w:val="0"/>
                <w:sz w:val="18"/>
              </w:rPr>
              <w:t>46,0</w:t>
            </w:r>
          </w:p>
        </w:tc>
      </w:tr>
    </w:tbl>
    <w:p/>
    <w:p>
      <w:pPr>
        <w:pStyle w:val="Heading1"/>
      </w:pPr>
      <w:r>
        <w:t>IV. ANALYSE DES PRINCIPAUX RÉSULTATS</w:t>
      </w:r>
    </w:p>
    <w:p>
      <w:pPr>
        <w:pStyle w:val="Heading2"/>
      </w:pPr>
      <w:r>
        <w:t>IV.1. Situation générale</w:t>
      </w:r>
    </w:p>
    <w:p>
      <w:r>
        <w:t>Les données recueillies montrent que la situation concernant récupération des sols, cordons pierreux, zaï, régénération naturelle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34</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-2</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récupération des sols, cordons pierreux, zaï, régénération naturelle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récupération des sols, cordons pierreux, zaï, régénération naturelle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