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Diagnostic des besoins énergétiques des infrastructures communautaires</w:t>
      </w:r>
    </w:p>
    <w:p>
      <w:pPr>
        <w:jc w:val="center"/>
      </w:pPr>
      <w:r>
        <w:rPr>
          <w:i/>
          <w:sz w:val="22"/>
        </w:rPr>
        <w:t>Rapport d’étude fictif sur éclairage solaire, coûts énergétiques, maintenance, autonomie</w:t>
      </w:r>
    </w:p>
    <w:p>
      <w:pPr>
        <w:jc w:val="center"/>
      </w:pPr>
      <w:r>
        <w:rPr>
          <w:sz w:val="20"/>
        </w:rPr>
        <w:br/>
        <w:t>Référence : RAP-ÉNE-006</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éclairage solaire, coûts énergétiques, maintenance, autonomie dans les zones de Est, Gourma, Komondjari.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éclairage solaire, coûts énergétiques, maintenance, autonomie.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éclairage solaire, coûts énergétiques, maintenance, autonomie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éclairage solaire, coûts énergétiques, maintenance, autonomie,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Est, Gourma, Komondjari.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605</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242</w:t>
            </w:r>
          </w:p>
        </w:tc>
        <w:tc>
          <w:tcPr>
            <w:tcW w:type="dxa" w:w="3312"/>
            <w:vAlign w:val="center"/>
          </w:tcPr>
          <w:p>
            <w:r/>
            <w:r>
              <w:rPr>
                <w:b w:val="0"/>
                <w:sz w:val="18"/>
              </w:rPr>
              <w:t>40,0</w:t>
            </w:r>
          </w:p>
        </w:tc>
      </w:tr>
      <w:tr>
        <w:tc>
          <w:tcPr>
            <w:tcW w:type="dxa" w:w="3312"/>
            <w:vAlign w:val="center"/>
          </w:tcPr>
          <w:p>
            <w:r/>
            <w:r>
              <w:rPr>
                <w:b w:val="0"/>
                <w:sz w:val="18"/>
              </w:rPr>
              <w:t>Zone rurale</w:t>
            </w:r>
          </w:p>
        </w:tc>
        <w:tc>
          <w:tcPr>
            <w:tcW w:type="dxa" w:w="3312"/>
            <w:vAlign w:val="center"/>
          </w:tcPr>
          <w:p>
            <w:r/>
            <w:r>
              <w:rPr>
                <w:b w:val="0"/>
                <w:sz w:val="18"/>
              </w:rPr>
              <w:t>363</w:t>
            </w:r>
          </w:p>
        </w:tc>
        <w:tc>
          <w:tcPr>
            <w:tcW w:type="dxa" w:w="3312"/>
            <w:vAlign w:val="center"/>
          </w:tcPr>
          <w:p>
            <w:r/>
            <w:r>
              <w:rPr>
                <w:b w:val="0"/>
                <w:sz w:val="18"/>
              </w:rPr>
              <w:t>60,0</w:t>
            </w:r>
          </w:p>
        </w:tc>
      </w:tr>
      <w:tr>
        <w:tc>
          <w:tcPr>
            <w:tcW w:type="dxa" w:w="3312"/>
            <w:vAlign w:val="center"/>
          </w:tcPr>
          <w:p>
            <w:r/>
            <w:r>
              <w:rPr>
                <w:b w:val="0"/>
                <w:sz w:val="18"/>
              </w:rPr>
              <w:t>Femmes / unités dirigées par une femme</w:t>
            </w:r>
          </w:p>
        </w:tc>
        <w:tc>
          <w:tcPr>
            <w:tcW w:type="dxa" w:w="3312"/>
            <w:vAlign w:val="center"/>
          </w:tcPr>
          <w:p>
            <w:r/>
            <w:r>
              <w:rPr>
                <w:b w:val="0"/>
                <w:sz w:val="18"/>
              </w:rPr>
              <w:t>284</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montrent que la situation concernant éclairage solaire, coûts énergétiques, maintenance, autonomie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éclairage solaire, coûts énergétiques, maintenance, autonomie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éclairage solaire, coûts énergétiques, maintenance, autonomie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