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Analyse des mécanismes locaux de soutien aux ménages vulnérables</w:t>
      </w:r>
    </w:p>
    <w:p>
      <w:pPr>
        <w:jc w:val="center"/>
      </w:pPr>
      <w:r>
        <w:rPr>
          <w:i/>
          <w:sz w:val="22"/>
        </w:rPr>
        <w:t>Rapport d’étude fictif sur ciblage, transferts, filets sociaux, accès aux services</w:t>
      </w:r>
    </w:p>
    <w:p>
      <w:pPr>
        <w:jc w:val="center"/>
      </w:pPr>
      <w:r>
        <w:rPr>
          <w:sz w:val="20"/>
        </w:rPr>
        <w:br/>
        <w:t>Référence : RAP-PRO-009</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ciblage, transferts, filets sociaux, accès aux services dans les zones de Sahel, Seno, Dori.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ciblage, transferts, filets sociaux,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ciblage, transferts, filets sociaux,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ciblage, transferts, filets sociaux,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Seno, Dori.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716</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437</w:t>
            </w:r>
          </w:p>
        </w:tc>
        <w:tc>
          <w:tcPr>
            <w:tcW w:type="dxa" w:w="3312"/>
            <w:vAlign w:val="center"/>
          </w:tcPr>
          <w:p>
            <w:r/>
            <w:r>
              <w:rPr>
                <w:b w:val="0"/>
                <w:sz w:val="18"/>
              </w:rPr>
              <w:t>61,0</w:t>
            </w:r>
          </w:p>
        </w:tc>
      </w:tr>
      <w:tr>
        <w:tc>
          <w:tcPr>
            <w:tcW w:type="dxa" w:w="3312"/>
            <w:vAlign w:val="center"/>
          </w:tcPr>
          <w:p>
            <w:r/>
            <w:r>
              <w:rPr>
                <w:b w:val="0"/>
                <w:sz w:val="18"/>
              </w:rPr>
              <w:t>Zone rurale</w:t>
            </w:r>
          </w:p>
        </w:tc>
        <w:tc>
          <w:tcPr>
            <w:tcW w:type="dxa" w:w="3312"/>
            <w:vAlign w:val="center"/>
          </w:tcPr>
          <w:p>
            <w:r/>
            <w:r>
              <w:rPr>
                <w:b w:val="0"/>
                <w:sz w:val="18"/>
              </w:rPr>
              <w:t>279</w:t>
            </w:r>
          </w:p>
        </w:tc>
        <w:tc>
          <w:tcPr>
            <w:tcW w:type="dxa" w:w="3312"/>
            <w:vAlign w:val="center"/>
          </w:tcPr>
          <w:p>
            <w:r/>
            <w:r>
              <w:rPr>
                <w:b w:val="0"/>
                <w:sz w:val="18"/>
              </w:rPr>
              <w:t>39,0</w:t>
            </w:r>
          </w:p>
        </w:tc>
      </w:tr>
      <w:tr>
        <w:tc>
          <w:tcPr>
            <w:tcW w:type="dxa" w:w="3312"/>
            <w:vAlign w:val="center"/>
          </w:tcPr>
          <w:p>
            <w:r/>
            <w:r>
              <w:rPr>
                <w:b w:val="0"/>
                <w:sz w:val="18"/>
              </w:rPr>
              <w:t>Femmes / unités dirigées par une femme</w:t>
            </w:r>
          </w:p>
        </w:tc>
        <w:tc>
          <w:tcPr>
            <w:tcW w:type="dxa" w:w="3312"/>
            <w:vAlign w:val="center"/>
          </w:tcPr>
          <w:p>
            <w:r/>
            <w:r>
              <w:rPr>
                <w:b w:val="0"/>
                <w:sz w:val="18"/>
              </w:rPr>
              <w:t>358</w:t>
            </w:r>
          </w:p>
        </w:tc>
        <w:tc>
          <w:tcPr>
            <w:tcW w:type="dxa" w:w="3312"/>
            <w:vAlign w:val="center"/>
          </w:tcPr>
          <w:p>
            <w:r/>
            <w:r>
              <w:rPr>
                <w:b w:val="0"/>
                <w:sz w:val="18"/>
              </w:rPr>
              <w:t>50,0</w:t>
            </w:r>
          </w:p>
        </w:tc>
      </w:tr>
    </w:tbl>
    <w:p/>
    <w:p>
      <w:pPr>
        <w:pStyle w:val="Heading1"/>
      </w:pPr>
      <w:r>
        <w:t>IV. ANALYSE DES PRINCIPAUX RÉSULTATS</w:t>
      </w:r>
    </w:p>
    <w:p>
      <w:pPr>
        <w:pStyle w:val="Heading2"/>
      </w:pPr>
      <w:r>
        <w:t>IV.1. Situation générale</w:t>
      </w:r>
    </w:p>
    <w:p>
      <w:r>
        <w:t>Les données recueillies montrent que la situation concernant ciblage, transferts, filets sociaux, accès aux services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ciblage, transferts, filets sociaux,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ciblage, transferts, filets sociaux,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