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Diagnostic des chaînes de valeur du maïs dans les communes rurales du Centre-Est</w:t>
      </w:r>
    </w:p>
    <w:p>
      <w:pPr>
        <w:jc w:val="center"/>
      </w:pPr>
      <w:r>
        <w:rPr>
          <w:i/>
          <w:sz w:val="22"/>
        </w:rPr>
        <w:t>Rapport d’étude fictif sur maïs, stockage, transformation, commercialisation</w:t>
      </w:r>
    </w:p>
    <w:p>
      <w:pPr>
        <w:jc w:val="center"/>
      </w:pPr>
      <w:r>
        <w:rPr>
          <w:sz w:val="20"/>
        </w:rPr>
        <w:br/>
        <w:t>Référence : RAP-AGR-051</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maïs, stockage, transformation, commercialisation dans les zones de Centre-Est, Boulgou, Kouritenga.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maïs, stockage, transformation, commercialisation.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maïs, stockage, transformation, commercialisation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maïs, stockage, transformation, commercialisation,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Centre-Est, Boulgou, Kouritenga.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750</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412</w:t>
            </w:r>
          </w:p>
        </w:tc>
        <w:tc>
          <w:tcPr>
            <w:tcW w:type="dxa" w:w="3312"/>
            <w:vAlign w:val="center"/>
          </w:tcPr>
          <w:p>
            <w:r/>
            <w:r>
              <w:rPr>
                <w:b w:val="0"/>
                <w:sz w:val="18"/>
              </w:rPr>
              <w:t>55,0</w:t>
            </w:r>
          </w:p>
        </w:tc>
      </w:tr>
      <w:tr>
        <w:tc>
          <w:tcPr>
            <w:tcW w:type="dxa" w:w="3312"/>
            <w:vAlign w:val="center"/>
          </w:tcPr>
          <w:p>
            <w:r/>
            <w:r>
              <w:rPr>
                <w:b w:val="0"/>
                <w:sz w:val="18"/>
              </w:rPr>
              <w:t>Zone rurale</w:t>
            </w:r>
          </w:p>
        </w:tc>
        <w:tc>
          <w:tcPr>
            <w:tcW w:type="dxa" w:w="3312"/>
            <w:vAlign w:val="center"/>
          </w:tcPr>
          <w:p>
            <w:r/>
            <w:r>
              <w:rPr>
                <w:b w:val="0"/>
                <w:sz w:val="18"/>
              </w:rPr>
              <w:t>338</w:t>
            </w:r>
          </w:p>
        </w:tc>
        <w:tc>
          <w:tcPr>
            <w:tcW w:type="dxa" w:w="3312"/>
            <w:vAlign w:val="center"/>
          </w:tcPr>
          <w:p>
            <w:r/>
            <w:r>
              <w:rPr>
                <w:b w:val="0"/>
                <w:sz w:val="18"/>
              </w:rPr>
              <w:t>45,0</w:t>
            </w:r>
          </w:p>
        </w:tc>
      </w:tr>
      <w:tr>
        <w:tc>
          <w:tcPr>
            <w:tcW w:type="dxa" w:w="3312"/>
            <w:vAlign w:val="center"/>
          </w:tcPr>
          <w:p>
            <w:r/>
            <w:r>
              <w:rPr>
                <w:b w:val="0"/>
                <w:sz w:val="18"/>
              </w:rPr>
              <w:t>Femmes / unités dirigées par une femme</w:t>
            </w:r>
          </w:p>
        </w:tc>
        <w:tc>
          <w:tcPr>
            <w:tcW w:type="dxa" w:w="3312"/>
            <w:vAlign w:val="center"/>
          </w:tcPr>
          <w:p>
            <w:r/>
            <w:r>
              <w:rPr>
                <w:b w:val="0"/>
                <w:sz w:val="18"/>
              </w:rPr>
              <w:t>330</w:t>
            </w:r>
          </w:p>
        </w:tc>
        <w:tc>
          <w:tcPr>
            <w:tcW w:type="dxa" w:w="3312"/>
            <w:vAlign w:val="center"/>
          </w:tcPr>
          <w:p>
            <w:r/>
            <w:r>
              <w:rPr>
                <w:b w:val="0"/>
                <w:sz w:val="18"/>
              </w:rPr>
              <w:t>44,0</w:t>
            </w:r>
          </w:p>
        </w:tc>
      </w:tr>
    </w:tbl>
    <w:p/>
    <w:p>
      <w:pPr>
        <w:pStyle w:val="Heading1"/>
      </w:pPr>
      <w:r>
        <w:t>IV. ANALYSE DES PRINCIPAUX RÉSULTATS</w:t>
      </w:r>
    </w:p>
    <w:p>
      <w:pPr>
        <w:pStyle w:val="Heading2"/>
      </w:pPr>
      <w:r>
        <w:t>IV.1. Situation générale</w:t>
      </w:r>
    </w:p>
    <w:p>
      <w:r>
        <w:t>Les données recueillies montrent que la situation concernant maïs, stockage, transformation, commercialisation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22</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25</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maïs, stockage, transformation, commercialisation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maïs, stockage, transformation, commercialisation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