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Analyse des conditions d’apprentissage dans les établissements post-primaire ruraux</w:t>
      </w:r>
    </w:p>
    <w:p>
      <w:pPr>
        <w:jc w:val="center"/>
      </w:pPr>
      <w:r>
        <w:rPr>
          <w:i/>
          <w:sz w:val="22"/>
        </w:rPr>
        <w:t>Rapport d’étude fictif sur infrastructures scolaires, équipements, effectifs, assiduité</w:t>
      </w:r>
    </w:p>
    <w:p>
      <w:pPr>
        <w:jc w:val="center"/>
      </w:pPr>
      <w:r>
        <w:rPr>
          <w:sz w:val="20"/>
        </w:rPr>
        <w:br/>
        <w:t>Référence : RAP-ÉDU-054</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infrastructures scolaires, équipements, effectifs, assiduité dans les zones de Boucle du Mouhoun, Balé, Mouhoun.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infrastructures scolaires, équipements, effectifs, assiduité.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infrastructures scolaires, équipements, effectifs, assiduité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infrastructures scolaires, équipements, effectifs, assiduité,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Boucle du Mouhoun, Balé, Mouhoun.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481</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221</w:t>
            </w:r>
          </w:p>
        </w:tc>
        <w:tc>
          <w:tcPr>
            <w:tcW w:type="dxa" w:w="3312"/>
            <w:vAlign w:val="center"/>
          </w:tcPr>
          <w:p>
            <w:r/>
            <w:r>
              <w:rPr>
                <w:b w:val="0"/>
                <w:sz w:val="18"/>
              </w:rPr>
              <w:t>46,0</w:t>
            </w:r>
          </w:p>
        </w:tc>
      </w:tr>
      <w:tr>
        <w:tc>
          <w:tcPr>
            <w:tcW w:type="dxa" w:w="3312"/>
            <w:vAlign w:val="center"/>
          </w:tcPr>
          <w:p>
            <w:r/>
            <w:r>
              <w:rPr>
                <w:b w:val="0"/>
                <w:sz w:val="18"/>
              </w:rPr>
              <w:t>Zone rurale</w:t>
            </w:r>
          </w:p>
        </w:tc>
        <w:tc>
          <w:tcPr>
            <w:tcW w:type="dxa" w:w="3312"/>
            <w:vAlign w:val="center"/>
          </w:tcPr>
          <w:p>
            <w:r/>
            <w:r>
              <w:rPr>
                <w:b w:val="0"/>
                <w:sz w:val="18"/>
              </w:rPr>
              <w:t>260</w:t>
            </w:r>
          </w:p>
        </w:tc>
        <w:tc>
          <w:tcPr>
            <w:tcW w:type="dxa" w:w="3312"/>
            <w:vAlign w:val="center"/>
          </w:tcPr>
          <w:p>
            <w:r/>
            <w:r>
              <w:rPr>
                <w:b w:val="0"/>
                <w:sz w:val="18"/>
              </w:rPr>
              <w:t>54,0</w:t>
            </w:r>
          </w:p>
        </w:tc>
      </w:tr>
      <w:tr>
        <w:tc>
          <w:tcPr>
            <w:tcW w:type="dxa" w:w="3312"/>
            <w:vAlign w:val="center"/>
          </w:tcPr>
          <w:p>
            <w:r/>
            <w:r>
              <w:rPr>
                <w:b w:val="0"/>
                <w:sz w:val="18"/>
              </w:rPr>
              <w:t>Femmes / unités dirigées par une femme</w:t>
            </w:r>
          </w:p>
        </w:tc>
        <w:tc>
          <w:tcPr>
            <w:tcW w:type="dxa" w:w="3312"/>
            <w:vAlign w:val="center"/>
          </w:tcPr>
          <w:p>
            <w:r/>
            <w:r>
              <w:rPr>
                <w:b w:val="0"/>
                <w:sz w:val="18"/>
              </w:rPr>
              <w:t>226</w:t>
            </w:r>
          </w:p>
        </w:tc>
        <w:tc>
          <w:tcPr>
            <w:tcW w:type="dxa" w:w="3312"/>
            <w:vAlign w:val="center"/>
          </w:tcPr>
          <w:p>
            <w:r/>
            <w:r>
              <w:rPr>
                <w:b w:val="0"/>
                <w:sz w:val="18"/>
              </w:rPr>
              <w:t>47,0</w:t>
            </w:r>
          </w:p>
        </w:tc>
      </w:tr>
    </w:tbl>
    <w:p/>
    <w:p>
      <w:pPr>
        <w:pStyle w:val="Heading1"/>
      </w:pPr>
      <w:r>
        <w:t>IV. ANALYSE DES PRINCIPAUX RÉSULTATS</w:t>
      </w:r>
    </w:p>
    <w:p>
      <w:pPr>
        <w:pStyle w:val="Heading2"/>
      </w:pPr>
      <w:r>
        <w:t>IV.1. Situation générale</w:t>
      </w:r>
    </w:p>
    <w:p>
      <w:r>
        <w:t>Les données recueillies montrent que la situation concernant infrastructures scolaires, équipements, effectifs, assiduité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31</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infrastructures scolaires, équipements, effectifs, assiduité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infrastructures scolaires, équipements, effectifs, assiduité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