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de suivi : Analyse des mécanismes locaux de soutien aux ménages vulnérables</w:t>
      </w:r>
    </w:p>
    <w:p>
      <w:pPr>
        <w:jc w:val="center"/>
      </w:pPr>
      <w:r>
        <w:rPr>
          <w:i/>
          <w:sz w:val="22"/>
        </w:rPr>
        <w:t>Rapport d’étude fictif sur ciblage, transferts, filets sociaux, accès aux services</w:t>
      </w:r>
    </w:p>
    <w:p>
      <w:pPr>
        <w:jc w:val="center"/>
      </w:pPr>
      <w:r>
        <w:rPr>
          <w:sz w:val="20"/>
        </w:rPr>
        <w:br/>
        <w:t>Référence : RAP-PRO-059</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bl>
    <w:p/>
    <w:p>
      <w:pPr>
        <w:pStyle w:val="Heading1"/>
      </w:pPr>
      <w:r>
        <w:t>RÉSUMÉ EXÉCUTIF</w:t>
      </w:r>
    </w:p>
    <w:p>
      <w:r>
        <w:t>Cette étude porte sur ciblage, transferts, filets sociaux, accès aux services dans les zones de Sahel, Seno, Dori.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ciblage, transferts, filets sociaux, accès aux services.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ciblage, transferts, filets sociaux, accès aux services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ciblage, transferts, filets sociaux, accès aux services,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Sahel, Seno, Dori.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666</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340</w:t>
            </w:r>
          </w:p>
        </w:tc>
        <w:tc>
          <w:tcPr>
            <w:tcW w:type="dxa" w:w="3312"/>
            <w:vAlign w:val="center"/>
          </w:tcPr>
          <w:p>
            <w:r/>
            <w:r>
              <w:rPr>
                <w:b w:val="0"/>
                <w:sz w:val="18"/>
              </w:rPr>
              <w:t>51,0</w:t>
            </w:r>
          </w:p>
        </w:tc>
      </w:tr>
      <w:tr>
        <w:tc>
          <w:tcPr>
            <w:tcW w:type="dxa" w:w="3312"/>
            <w:vAlign w:val="center"/>
          </w:tcPr>
          <w:p>
            <w:r/>
            <w:r>
              <w:rPr>
                <w:b w:val="0"/>
                <w:sz w:val="18"/>
              </w:rPr>
              <w:t>Zone rurale</w:t>
            </w:r>
          </w:p>
        </w:tc>
        <w:tc>
          <w:tcPr>
            <w:tcW w:type="dxa" w:w="3312"/>
            <w:vAlign w:val="center"/>
          </w:tcPr>
          <w:p>
            <w:r/>
            <w:r>
              <w:rPr>
                <w:b w:val="0"/>
                <w:sz w:val="18"/>
              </w:rPr>
              <w:t>326</w:t>
            </w:r>
          </w:p>
        </w:tc>
        <w:tc>
          <w:tcPr>
            <w:tcW w:type="dxa" w:w="3312"/>
            <w:vAlign w:val="center"/>
          </w:tcPr>
          <w:p>
            <w:r/>
            <w:r>
              <w:rPr>
                <w:b w:val="0"/>
                <w:sz w:val="18"/>
              </w:rPr>
              <w:t>49,0</w:t>
            </w:r>
          </w:p>
        </w:tc>
      </w:tr>
      <w:tr>
        <w:tc>
          <w:tcPr>
            <w:tcW w:type="dxa" w:w="3312"/>
            <w:vAlign w:val="center"/>
          </w:tcPr>
          <w:p>
            <w:r/>
            <w:r>
              <w:rPr>
                <w:b w:val="0"/>
                <w:sz w:val="18"/>
              </w:rPr>
              <w:t>Femmes / unités dirigées par une femme</w:t>
            </w:r>
          </w:p>
        </w:tc>
        <w:tc>
          <w:tcPr>
            <w:tcW w:type="dxa" w:w="3312"/>
            <w:vAlign w:val="center"/>
          </w:tcPr>
          <w:p>
            <w:r/>
            <w:r>
              <w:rPr>
                <w:b w:val="0"/>
                <w:sz w:val="18"/>
              </w:rPr>
              <w:t>346</w:t>
            </w:r>
          </w:p>
        </w:tc>
        <w:tc>
          <w:tcPr>
            <w:tcW w:type="dxa" w:w="3312"/>
            <w:vAlign w:val="center"/>
          </w:tcPr>
          <w:p>
            <w:r/>
            <w:r>
              <w:rPr>
                <w:b w:val="0"/>
                <w:sz w:val="18"/>
              </w:rPr>
              <w:t>52,0</w:t>
            </w:r>
          </w:p>
        </w:tc>
      </w:tr>
    </w:tbl>
    <w:p/>
    <w:p>
      <w:pPr>
        <w:pStyle w:val="Heading1"/>
      </w:pPr>
      <w:r>
        <w:t>IV. ANALYSE DES PRINCIPAUX RÉSULTATS</w:t>
      </w:r>
    </w:p>
    <w:p>
      <w:pPr>
        <w:pStyle w:val="Heading2"/>
      </w:pPr>
      <w:r>
        <w:t>IV.1. Situation générale</w:t>
      </w:r>
    </w:p>
    <w:p>
      <w:r>
        <w:t>Les données recueillies montrent que la situation concernant ciblage, transferts, filets sociaux, accès aux services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58</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46</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-4</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ciblage, transferts, filets sociaux, accès aux services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ciblage, transferts, filets sociaux, accès aux services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