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de suivi : Étude sur l’insertion professionnelle des jeunes formés aux métiers techniques</w:t>
      </w:r>
    </w:p>
    <w:p>
      <w:pPr>
        <w:jc w:val="center"/>
      </w:pPr>
      <w:r>
        <w:rPr>
          <w:i/>
          <w:sz w:val="22"/>
        </w:rPr>
        <w:t>Rapport d’étude fictif sur formation professionnelle, apprentissage, emploi, entrepreneuriat</w:t>
      </w:r>
    </w:p>
    <w:p>
      <w:pPr>
        <w:jc w:val="center"/>
      </w:pPr>
      <w:r>
        <w:rPr>
          <w:sz w:val="20"/>
        </w:rPr>
        <w:br/>
        <w:t>Référence : RAP-EMP-060</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r>
        <w:tc>
          <w:tcPr>
            <w:tcW w:type="dxa" w:w="4968"/>
            <w:vAlign w:val="center"/>
          </w:tcPr>
          <w:p>
            <w:r/>
            <w:r>
              <w:rPr>
                <w:b w:val="0"/>
                <w:sz w:val="18"/>
              </w:rPr>
              <w:t>TIC</w:t>
            </w:r>
          </w:p>
        </w:tc>
        <w:tc>
          <w:tcPr>
            <w:tcW w:type="dxa" w:w="4968"/>
            <w:vAlign w:val="center"/>
          </w:tcPr>
          <w:p>
            <w:r/>
            <w:r>
              <w:rPr>
                <w:b w:val="0"/>
                <w:sz w:val="18"/>
              </w:rPr>
              <w:t>Technologies de l’information et de la communication</w:t>
            </w:r>
          </w:p>
        </w:tc>
      </w:tr>
    </w:tbl>
    <w:p/>
    <w:p>
      <w:pPr>
        <w:pStyle w:val="Heading1"/>
      </w:pPr>
      <w:r>
        <w:t>RÉSUMÉ EXÉCUTIF</w:t>
      </w:r>
    </w:p>
    <w:p>
      <w:r>
        <w:t>Cette étude porte sur formation professionnelle, apprentissage, emploi, entrepreneuriat dans les zones de Hauts-Bassins, Houet, Kénédougou.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formation professionnelle, apprentissage, emploi, entrepreneuriat.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formation professionnelle, apprentissage, emploi, entrepreneuriat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formation professionnelle, apprentissage, emploi, entrepreneuriat,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Hauts-Bassins, Houet, Kénédougou.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703</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408</w:t>
            </w:r>
          </w:p>
        </w:tc>
        <w:tc>
          <w:tcPr>
            <w:tcW w:type="dxa" w:w="3312"/>
            <w:vAlign w:val="center"/>
          </w:tcPr>
          <w:p>
            <w:r/>
            <w:r>
              <w:rPr>
                <w:b w:val="0"/>
                <w:sz w:val="18"/>
              </w:rPr>
              <w:t>58,0</w:t>
            </w:r>
          </w:p>
        </w:tc>
      </w:tr>
      <w:tr>
        <w:tc>
          <w:tcPr>
            <w:tcW w:type="dxa" w:w="3312"/>
            <w:vAlign w:val="center"/>
          </w:tcPr>
          <w:p>
            <w:r/>
            <w:r>
              <w:rPr>
                <w:b w:val="0"/>
                <w:sz w:val="18"/>
              </w:rPr>
              <w:t>Zone rurale</w:t>
            </w:r>
          </w:p>
        </w:tc>
        <w:tc>
          <w:tcPr>
            <w:tcW w:type="dxa" w:w="3312"/>
            <w:vAlign w:val="center"/>
          </w:tcPr>
          <w:p>
            <w:r/>
            <w:r>
              <w:rPr>
                <w:b w:val="0"/>
                <w:sz w:val="18"/>
              </w:rPr>
              <w:t>295</w:t>
            </w:r>
          </w:p>
        </w:tc>
        <w:tc>
          <w:tcPr>
            <w:tcW w:type="dxa" w:w="3312"/>
            <w:vAlign w:val="center"/>
          </w:tcPr>
          <w:p>
            <w:r/>
            <w:r>
              <w:rPr>
                <w:b w:val="0"/>
                <w:sz w:val="18"/>
              </w:rPr>
              <w:t>42,0</w:t>
            </w:r>
          </w:p>
        </w:tc>
      </w:tr>
      <w:tr>
        <w:tc>
          <w:tcPr>
            <w:tcW w:type="dxa" w:w="3312"/>
            <w:vAlign w:val="center"/>
          </w:tcPr>
          <w:p>
            <w:r/>
            <w:r>
              <w:rPr>
                <w:b w:val="0"/>
                <w:sz w:val="18"/>
              </w:rPr>
              <w:t>Femmes / unités dirigées par une femme</w:t>
            </w:r>
          </w:p>
        </w:tc>
        <w:tc>
          <w:tcPr>
            <w:tcW w:type="dxa" w:w="3312"/>
            <w:vAlign w:val="center"/>
          </w:tcPr>
          <w:p>
            <w:r/>
            <w:r>
              <w:rPr>
                <w:b w:val="0"/>
                <w:sz w:val="18"/>
              </w:rPr>
              <w:t>373</w:t>
            </w:r>
          </w:p>
        </w:tc>
        <w:tc>
          <w:tcPr>
            <w:tcW w:type="dxa" w:w="3312"/>
            <w:vAlign w:val="center"/>
          </w:tcPr>
          <w:p>
            <w:r/>
            <w:r>
              <w:rPr>
                <w:b w:val="0"/>
                <w:sz w:val="18"/>
              </w:rPr>
              <w:t>53,0</w:t>
            </w:r>
          </w:p>
        </w:tc>
      </w:tr>
    </w:tbl>
    <w:p/>
    <w:p>
      <w:pPr>
        <w:pStyle w:val="Heading1"/>
      </w:pPr>
      <w:r>
        <w:t>IV. ANALYSE DES PRINCIPAUX RÉSULTATS</w:t>
      </w:r>
    </w:p>
    <w:p>
      <w:pPr>
        <w:pStyle w:val="Heading2"/>
      </w:pPr>
      <w:r>
        <w:t>IV.1. Situation générale</w:t>
      </w:r>
    </w:p>
    <w:p>
      <w:r>
        <w:t>Les données recueillies montrent que la situation concernant formation professionnelle, apprentissage, emploi, entrepreneuriat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63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24</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13</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formation professionnelle, apprentissage, emploi, entrepreneuriat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formation professionnelle, apprentissage, emploi, entrepreneuriat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