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Diagnostic participatif de l’occupation des espaces agro-pastoraux</w:t>
      </w:r>
    </w:p>
    <w:p>
      <w:pPr>
        <w:jc w:val="center"/>
      </w:pPr>
      <w:r>
        <w:rPr>
          <w:i/>
          <w:sz w:val="22"/>
        </w:rPr>
        <w:t>Rapport d’étude fictif sur foncier, couloirs de passage, conflits d’usage, cartographie</w:t>
      </w:r>
    </w:p>
    <w:p>
      <w:pPr>
        <w:jc w:val="center"/>
      </w:pPr>
      <w:r>
        <w:rPr>
          <w:sz w:val="20"/>
        </w:rPr>
        <w:br/>
        <w:t>Référence : RAP-AMÉ-061</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foncier, couloirs de passage, conflits d’usage, cartographie dans les zones de Cascades, Comoé, Léraba.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foncier, couloirs de passage, conflits d’usage, cartographie.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foncier, couloirs de passage, conflits d’usage, cartographie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foncier, couloirs de passage, conflits d’usage, cartographie,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Cascades, Comoé, Léraba.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740</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259</w:t>
            </w:r>
          </w:p>
        </w:tc>
        <w:tc>
          <w:tcPr>
            <w:tcW w:type="dxa" w:w="3312"/>
            <w:vAlign w:val="center"/>
          </w:tcPr>
          <w:p>
            <w:r/>
            <w:r>
              <w:rPr>
                <w:b w:val="0"/>
                <w:sz w:val="18"/>
              </w:rPr>
              <w:t>35,0</w:t>
            </w:r>
          </w:p>
        </w:tc>
      </w:tr>
      <w:tr>
        <w:tc>
          <w:tcPr>
            <w:tcW w:type="dxa" w:w="3312"/>
            <w:vAlign w:val="center"/>
          </w:tcPr>
          <w:p>
            <w:r/>
            <w:r>
              <w:rPr>
                <w:b w:val="0"/>
                <w:sz w:val="18"/>
              </w:rPr>
              <w:t>Zone rurale</w:t>
            </w:r>
          </w:p>
        </w:tc>
        <w:tc>
          <w:tcPr>
            <w:tcW w:type="dxa" w:w="3312"/>
            <w:vAlign w:val="center"/>
          </w:tcPr>
          <w:p>
            <w:r/>
            <w:r>
              <w:rPr>
                <w:b w:val="0"/>
                <w:sz w:val="18"/>
              </w:rPr>
              <w:t>481</w:t>
            </w:r>
          </w:p>
        </w:tc>
        <w:tc>
          <w:tcPr>
            <w:tcW w:type="dxa" w:w="3312"/>
            <w:vAlign w:val="center"/>
          </w:tcPr>
          <w:p>
            <w:r/>
            <w:r>
              <w:rPr>
                <w:b w:val="0"/>
                <w:sz w:val="18"/>
              </w:rPr>
              <w:t>65,0</w:t>
            </w:r>
          </w:p>
        </w:tc>
      </w:tr>
      <w:tr>
        <w:tc>
          <w:tcPr>
            <w:tcW w:type="dxa" w:w="3312"/>
            <w:vAlign w:val="center"/>
          </w:tcPr>
          <w:p>
            <w:r/>
            <w:r>
              <w:rPr>
                <w:b w:val="0"/>
                <w:sz w:val="18"/>
              </w:rPr>
              <w:t>Femmes / unités dirigées par une femme</w:t>
            </w:r>
          </w:p>
        </w:tc>
        <w:tc>
          <w:tcPr>
            <w:tcW w:type="dxa" w:w="3312"/>
            <w:vAlign w:val="center"/>
          </w:tcPr>
          <w:p>
            <w:r/>
            <w:r>
              <w:rPr>
                <w:b w:val="0"/>
                <w:sz w:val="18"/>
              </w:rPr>
              <w:t>311</w:t>
            </w:r>
          </w:p>
        </w:tc>
        <w:tc>
          <w:tcPr>
            <w:tcW w:type="dxa" w:w="3312"/>
            <w:vAlign w:val="center"/>
          </w:tcPr>
          <w:p>
            <w:r/>
            <w:r>
              <w:rPr>
                <w:b w:val="0"/>
                <w:sz w:val="18"/>
              </w:rPr>
              <w:t>42,0</w:t>
            </w:r>
          </w:p>
        </w:tc>
      </w:tr>
    </w:tbl>
    <w:p/>
    <w:p>
      <w:pPr>
        <w:pStyle w:val="Heading1"/>
      </w:pPr>
      <w:r>
        <w:t>IV. ANALYSE DES PRINCIPAUX RÉSULTATS</w:t>
      </w:r>
    </w:p>
    <w:p>
      <w:pPr>
        <w:pStyle w:val="Heading2"/>
      </w:pPr>
      <w:r>
        <w:t>IV.1. Situation générale</w:t>
      </w:r>
    </w:p>
    <w:p>
      <w:r>
        <w:t>Les données recueillies montrent que la situation concernant foncier, couloirs de passage, conflits d’usage, cartographie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27</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5</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foncier, couloirs de passage, conflits d’usage, cartographie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foncier, couloirs de passage, conflits d’usage, cartographie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