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Diagnostic de l’accessibilité des marchés ruraux et des pistes de desserte</w:t>
      </w:r>
    </w:p>
    <w:p>
      <w:pPr>
        <w:jc w:val="center"/>
      </w:pPr>
      <w:r>
        <w:rPr>
          <w:i/>
          <w:sz w:val="22"/>
        </w:rPr>
        <w:t>Rapport d’étude fictif sur pistes rurales, transport, marchés, saison des pluies</w:t>
      </w:r>
    </w:p>
    <w:p>
      <w:pPr>
        <w:jc w:val="center"/>
      </w:pPr>
      <w:r>
        <w:rPr>
          <w:sz w:val="20"/>
        </w:rPr>
        <w:br/>
        <w:t>Référence : RAP-MOB-065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pistes rurales, transport, marchés, saison des pluies dans les zones de Boucle du Mouhoun, Banfora, Tuy.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pistes rurales, transport, marchés, saison des pluies.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pistes rurales, transport, marchés, saison des pluies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pistes rurales, transport, marchés, saison des pluies,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Banfora, Tuy.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508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320</w:t>
            </w:r>
          </w:p>
        </w:tc>
        <w:tc>
          <w:tcPr>
            <w:tcW w:type="dxa" w:w="3312"/>
            <w:vAlign w:val="center"/>
          </w:tcPr>
          <w:p>
            <w:r/>
            <w:r>
              <w:rPr>
                <w:b w:val="0"/>
                <w:sz w:val="18"/>
              </w:rPr>
              <w:t>63,0</w:t>
            </w:r>
          </w:p>
        </w:tc>
      </w:tr>
      <w:tr>
        <w:tc>
          <w:tcPr>
            <w:tcW w:type="dxa" w:w="3312"/>
            <w:vAlign w:val="center"/>
          </w:tcPr>
          <w:p>
            <w:r/>
            <w:r>
              <w:rPr>
                <w:b w:val="0"/>
                <w:sz w:val="18"/>
              </w:rPr>
              <w:t>Zone rurale</w:t>
            </w:r>
          </w:p>
        </w:tc>
        <w:tc>
          <w:tcPr>
            <w:tcW w:type="dxa" w:w="3312"/>
            <w:vAlign w:val="center"/>
          </w:tcPr>
          <w:p>
            <w:r/>
            <w:r>
              <w:rPr>
                <w:b w:val="0"/>
                <w:sz w:val="18"/>
              </w:rPr>
              <w:t>188</w:t>
            </w:r>
          </w:p>
        </w:tc>
        <w:tc>
          <w:tcPr>
            <w:tcW w:type="dxa" w:w="3312"/>
            <w:vAlign w:val="center"/>
          </w:tcPr>
          <w:p>
            <w:r/>
            <w:r>
              <w:rPr>
                <w:b w:val="0"/>
                <w:sz w:val="18"/>
              </w:rPr>
              <w:t>37,0</w:t>
            </w:r>
          </w:p>
        </w:tc>
      </w:tr>
      <w:tr>
        <w:tc>
          <w:tcPr>
            <w:tcW w:type="dxa" w:w="3312"/>
            <w:vAlign w:val="center"/>
          </w:tcPr>
          <w:p>
            <w:r/>
            <w:r>
              <w:rPr>
                <w:b w:val="0"/>
                <w:sz w:val="18"/>
              </w:rPr>
              <w:t>Femmes / unités dirigées par une femme</w:t>
            </w:r>
          </w:p>
        </w:tc>
        <w:tc>
          <w:tcPr>
            <w:tcW w:type="dxa" w:w="3312"/>
            <w:vAlign w:val="center"/>
          </w:tcPr>
          <w:p>
            <w:r/>
            <w:r>
              <w:rPr>
                <w:b w:val="0"/>
                <w:sz w:val="18"/>
              </w:rPr>
              <w:t>234</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montrent que la situation concernant pistes rurales, transport, marchés, saison des pluies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pistes rurales, transport, marchés, saison des pluies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pistes rurales, transport, marchés, saison des pluies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