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Analyse complémentaire : Évaluation des microprojets communautaires financés dans les communes</w:t>
      </w:r>
    </w:p>
    <w:p>
      <w:pPr>
        <w:jc w:val="center"/>
      </w:pPr>
      <w:r>
        <w:rPr>
          <w:i/>
          <w:sz w:val="22"/>
        </w:rPr>
        <w:t>Rapport d’étude fictif sur pertinence, efficacité, durabilité, appropriation</w:t>
      </w:r>
    </w:p>
    <w:p>
      <w:pPr>
        <w:jc w:val="center"/>
      </w:pPr>
      <w:r>
        <w:rPr>
          <w:sz w:val="20"/>
        </w:rPr>
        <w:br/>
        <w:t>Référence : RAP-DÉV-092</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bl>
    <w:p/>
    <w:p>
      <w:pPr>
        <w:pStyle w:val="Heading1"/>
      </w:pPr>
      <w:r>
        <w:t>RÉSUMÉ EXÉCUTIF</w:t>
      </w:r>
    </w:p>
    <w:p>
      <w:r>
        <w:t>Cette étude porte sur pertinence, efficacité, durabilité, appropriation dans les zones de Sud-Ouest, Poni, Noumbiel.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pertinence, efficacité, durabilité, appropriation.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pertinence, efficacité, durabilité, appropriation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pertinence, efficacité, durabilité, appropriation,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Sud-Ouest, Poni, Noumbiel.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747</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314</w:t>
            </w:r>
          </w:p>
        </w:tc>
        <w:tc>
          <w:tcPr>
            <w:tcW w:type="dxa" w:w="3312"/>
            <w:vAlign w:val="center"/>
          </w:tcPr>
          <w:p>
            <w:r/>
            <w:r>
              <w:rPr>
                <w:b w:val="0"/>
                <w:sz w:val="18"/>
              </w:rPr>
              <w:t>42,0</w:t>
            </w:r>
          </w:p>
        </w:tc>
      </w:tr>
      <w:tr>
        <w:tc>
          <w:tcPr>
            <w:tcW w:type="dxa" w:w="3312"/>
            <w:vAlign w:val="center"/>
          </w:tcPr>
          <w:p>
            <w:r/>
            <w:r>
              <w:rPr>
                <w:b w:val="0"/>
                <w:sz w:val="18"/>
              </w:rPr>
              <w:t>Zone rurale</w:t>
            </w:r>
          </w:p>
        </w:tc>
        <w:tc>
          <w:tcPr>
            <w:tcW w:type="dxa" w:w="3312"/>
            <w:vAlign w:val="center"/>
          </w:tcPr>
          <w:p>
            <w:r/>
            <w:r>
              <w:rPr>
                <w:b w:val="0"/>
                <w:sz w:val="18"/>
              </w:rPr>
              <w:t>433</w:t>
            </w:r>
          </w:p>
        </w:tc>
        <w:tc>
          <w:tcPr>
            <w:tcW w:type="dxa" w:w="3312"/>
            <w:vAlign w:val="center"/>
          </w:tcPr>
          <w:p>
            <w:r/>
            <w:r>
              <w:rPr>
                <w:b w:val="0"/>
                <w:sz w:val="18"/>
              </w:rPr>
              <w:t>58,0</w:t>
            </w:r>
          </w:p>
        </w:tc>
      </w:tr>
      <w:tr>
        <w:tc>
          <w:tcPr>
            <w:tcW w:type="dxa" w:w="3312"/>
            <w:vAlign w:val="center"/>
          </w:tcPr>
          <w:p>
            <w:r/>
            <w:r>
              <w:rPr>
                <w:b w:val="0"/>
                <w:sz w:val="18"/>
              </w:rPr>
              <w:t>Femmes / unités dirigées par une femme</w:t>
            </w:r>
          </w:p>
        </w:tc>
        <w:tc>
          <w:tcPr>
            <w:tcW w:type="dxa" w:w="3312"/>
            <w:vAlign w:val="center"/>
          </w:tcPr>
          <w:p>
            <w:r/>
            <w:r>
              <w:rPr>
                <w:b w:val="0"/>
                <w:sz w:val="18"/>
              </w:rPr>
              <w:t>366</w:t>
            </w:r>
          </w:p>
        </w:tc>
        <w:tc>
          <w:tcPr>
            <w:tcW w:type="dxa" w:w="3312"/>
            <w:vAlign w:val="center"/>
          </w:tcPr>
          <w:p>
            <w:r/>
            <w:r>
              <w:rPr>
                <w:b w:val="0"/>
                <w:sz w:val="18"/>
              </w:rPr>
              <w:t>49,0</w:t>
            </w:r>
          </w:p>
        </w:tc>
      </w:tr>
    </w:tbl>
    <w:p/>
    <w:p>
      <w:pPr>
        <w:pStyle w:val="Heading1"/>
      </w:pPr>
      <w:r>
        <w:t>IV. ANALYSE DES PRINCIPAUX RÉSULTATS</w:t>
      </w:r>
    </w:p>
    <w:p>
      <w:pPr>
        <w:pStyle w:val="Heading2"/>
      </w:pPr>
      <w:r>
        <w:t>IV.1. Situation générale</w:t>
      </w:r>
    </w:p>
    <w:p>
      <w:r>
        <w:t>Les données recueillies indiquent que la situation concernant pertinence, efficacité, durabilité, appropriation reste variable selon les zones. Les unités les mieux desservies disposent généralement de ressources plus régulières, tandis que les zones périphériques font davantage face à des contraintes d’accès, de financement ou de maintenance.</w:t>
      </w:r>
    </w:p>
    <w:p>
      <w:r>
        <w:t>Les échanges réalisés suggèrent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48</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45</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7</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pertinence, efficacité, durabilité, appropriation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pertinence, efficacité, durabilité, appropriation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