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Étude des besoins d’irrigation des petits producteurs maraîchers</w:t>
      </w:r>
    </w:p>
    <w:p>
      <w:pPr>
        <w:jc w:val="center"/>
      </w:pPr>
      <w:r>
        <w:rPr>
          <w:i/>
          <w:sz w:val="22"/>
        </w:rPr>
        <w:t>Rapport d’étude fictif sur pompage, irrigation, coûts, gestion des périmètres</w:t>
      </w:r>
    </w:p>
    <w:p>
      <w:pPr>
        <w:jc w:val="center"/>
      </w:pPr>
      <w:r>
        <w:rPr>
          <w:sz w:val="20"/>
        </w:rPr>
        <w:br/>
        <w:t>Référence : RAP-EAU-094</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pompage, irrigation, coûts, gestion des périmètres dans les zones de Hauts-Bassins, Kossi, Houet.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pompage, irrigation, coûts, gestion des périmètres.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pompage, irrigation, coûts, gestion des périmètres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pompage, irrigation, coûts, gestion des périmètres,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Hauts-Bassins, Kossi, Houet.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441</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247</w:t>
            </w:r>
          </w:p>
        </w:tc>
        <w:tc>
          <w:tcPr>
            <w:tcW w:type="dxa" w:w="3312"/>
            <w:vAlign w:val="center"/>
          </w:tcPr>
          <w:p>
            <w:r/>
            <w:r>
              <w:rPr>
                <w:b w:val="0"/>
                <w:sz w:val="18"/>
              </w:rPr>
              <w:t>56,0</w:t>
            </w:r>
          </w:p>
        </w:tc>
      </w:tr>
      <w:tr>
        <w:tc>
          <w:tcPr>
            <w:tcW w:type="dxa" w:w="3312"/>
            <w:vAlign w:val="center"/>
          </w:tcPr>
          <w:p>
            <w:r/>
            <w:r>
              <w:rPr>
                <w:b w:val="0"/>
                <w:sz w:val="18"/>
              </w:rPr>
              <w:t>Zone rurale</w:t>
            </w:r>
          </w:p>
        </w:tc>
        <w:tc>
          <w:tcPr>
            <w:tcW w:type="dxa" w:w="3312"/>
            <w:vAlign w:val="center"/>
          </w:tcPr>
          <w:p>
            <w:r/>
            <w:r>
              <w:rPr>
                <w:b w:val="0"/>
                <w:sz w:val="18"/>
              </w:rPr>
              <w:t>194</w:t>
            </w:r>
          </w:p>
        </w:tc>
        <w:tc>
          <w:tcPr>
            <w:tcW w:type="dxa" w:w="3312"/>
            <w:vAlign w:val="center"/>
          </w:tcPr>
          <w:p>
            <w:r/>
            <w:r>
              <w:rPr>
                <w:b w:val="0"/>
                <w:sz w:val="18"/>
              </w:rPr>
              <w:t>44,0</w:t>
            </w:r>
          </w:p>
        </w:tc>
      </w:tr>
      <w:tr>
        <w:tc>
          <w:tcPr>
            <w:tcW w:type="dxa" w:w="3312"/>
            <w:vAlign w:val="center"/>
          </w:tcPr>
          <w:p>
            <w:r/>
            <w:r>
              <w:rPr>
                <w:b w:val="0"/>
                <w:sz w:val="18"/>
              </w:rPr>
              <w:t>Femmes / unités dirigées par une femme</w:t>
            </w:r>
          </w:p>
        </w:tc>
        <w:tc>
          <w:tcPr>
            <w:tcW w:type="dxa" w:w="3312"/>
            <w:vAlign w:val="center"/>
          </w:tcPr>
          <w:p>
            <w:r/>
            <w:r>
              <w:rPr>
                <w:b w:val="0"/>
                <w:sz w:val="18"/>
              </w:rPr>
              <w:t>225</w:t>
            </w:r>
          </w:p>
        </w:tc>
        <w:tc>
          <w:tcPr>
            <w:tcW w:type="dxa" w:w="3312"/>
            <w:vAlign w:val="center"/>
          </w:tcPr>
          <w:p>
            <w:r/>
            <w:r>
              <w:rPr>
                <w:b w:val="0"/>
                <w:sz w:val="18"/>
              </w:rPr>
              <w:t>51,0</w:t>
            </w:r>
          </w:p>
        </w:tc>
      </w:tr>
    </w:tbl>
    <w:p/>
    <w:p>
      <w:pPr>
        <w:pStyle w:val="Heading1"/>
      </w:pPr>
      <w:r>
        <w:t>IV. ANALYSE DES PRINCIPAUX RÉSULTATS</w:t>
      </w:r>
    </w:p>
    <w:p>
      <w:pPr>
        <w:pStyle w:val="Heading2"/>
      </w:pPr>
      <w:r>
        <w:t>IV.1. Situation générale</w:t>
      </w:r>
    </w:p>
    <w:p>
      <w:r>
        <w:t>Les données recueillies indiquent que la situation concernant pompage, irrigation, coûts, gestion des périmètres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26</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16</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pompage, irrigation, coûts, gestion des périmètres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pompage, irrigation, coûts, gestion des périmètres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