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Diagnostic de l’accessibilité des marchés ruraux et des pistes de desserte</w:t>
      </w:r>
    </w:p>
    <w:p>
      <w:pPr>
        <w:jc w:val="center"/>
      </w:pPr>
      <w:r>
        <w:rPr>
          <w:i/>
          <w:sz w:val="22"/>
        </w:rPr>
        <w:t>Rapport d’étude fictif sur pistes rurales, transport, marchés, saison des pluies</w:t>
      </w:r>
    </w:p>
    <w:p>
      <w:pPr>
        <w:jc w:val="center"/>
      </w:pPr>
      <w:r>
        <w:rPr>
          <w:sz w:val="20"/>
        </w:rPr>
        <w:br/>
        <w:t>Référence : RAP-MOB-095</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pistes rurales, transport, marchés, saison des pluies dans les zones de Boucle du Mouhoun, Banfora, Tuy.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pistes rurales, transport, marchés, saison des pluies.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pistes rurales, transport, marchés, saison des pluies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pistes rurales, transport, marchés, saison des pluies,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Boucle du Mouhoun, Banfora, Tuy.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478</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301</w:t>
            </w:r>
          </w:p>
        </w:tc>
        <w:tc>
          <w:tcPr>
            <w:tcW w:type="dxa" w:w="3312"/>
            <w:vAlign w:val="center"/>
          </w:tcPr>
          <w:p>
            <w:r/>
            <w:r>
              <w:rPr>
                <w:b w:val="0"/>
                <w:sz w:val="18"/>
              </w:rPr>
              <w:t>63,0</w:t>
            </w:r>
          </w:p>
        </w:tc>
      </w:tr>
      <w:tr>
        <w:tc>
          <w:tcPr>
            <w:tcW w:type="dxa" w:w="3312"/>
            <w:vAlign w:val="center"/>
          </w:tcPr>
          <w:p>
            <w:r/>
            <w:r>
              <w:rPr>
                <w:b w:val="0"/>
                <w:sz w:val="18"/>
              </w:rPr>
              <w:t>Zone rurale</w:t>
            </w:r>
          </w:p>
        </w:tc>
        <w:tc>
          <w:tcPr>
            <w:tcW w:type="dxa" w:w="3312"/>
            <w:vAlign w:val="center"/>
          </w:tcPr>
          <w:p>
            <w:r/>
            <w:r>
              <w:rPr>
                <w:b w:val="0"/>
                <w:sz w:val="18"/>
              </w:rPr>
              <w:t>177</w:t>
            </w:r>
          </w:p>
        </w:tc>
        <w:tc>
          <w:tcPr>
            <w:tcW w:type="dxa" w:w="3312"/>
            <w:vAlign w:val="center"/>
          </w:tcPr>
          <w:p>
            <w:r/>
            <w:r>
              <w:rPr>
                <w:b w:val="0"/>
                <w:sz w:val="18"/>
              </w:rPr>
              <w:t>37,0</w:t>
            </w:r>
          </w:p>
        </w:tc>
      </w:tr>
      <w:tr>
        <w:tc>
          <w:tcPr>
            <w:tcW w:type="dxa" w:w="3312"/>
            <w:vAlign w:val="center"/>
          </w:tcPr>
          <w:p>
            <w:r/>
            <w:r>
              <w:rPr>
                <w:b w:val="0"/>
                <w:sz w:val="18"/>
              </w:rPr>
              <w:t>Femmes / unités dirigées par une femme</w:t>
            </w:r>
          </w:p>
        </w:tc>
        <w:tc>
          <w:tcPr>
            <w:tcW w:type="dxa" w:w="3312"/>
            <w:vAlign w:val="center"/>
          </w:tcPr>
          <w:p>
            <w:r/>
            <w:r>
              <w:rPr>
                <w:b w:val="0"/>
                <w:sz w:val="18"/>
              </w:rPr>
              <w:t>249</w:t>
            </w:r>
          </w:p>
        </w:tc>
        <w:tc>
          <w:tcPr>
            <w:tcW w:type="dxa" w:w="3312"/>
            <w:vAlign w:val="center"/>
          </w:tcPr>
          <w:p>
            <w:r/>
            <w:r>
              <w:rPr>
                <w:b w:val="0"/>
                <w:sz w:val="18"/>
              </w:rPr>
              <w:t>52,0</w:t>
            </w:r>
          </w:p>
        </w:tc>
      </w:tr>
    </w:tbl>
    <w:p/>
    <w:p>
      <w:pPr>
        <w:pStyle w:val="Heading1"/>
      </w:pPr>
      <w:r>
        <w:t>IV. ANALYSE DES PRINCIPAUX RÉSULTATS</w:t>
      </w:r>
    </w:p>
    <w:p>
      <w:pPr>
        <w:pStyle w:val="Heading2"/>
      </w:pPr>
      <w:r>
        <w:t>IV.1. Situation générale</w:t>
      </w:r>
    </w:p>
    <w:p>
      <w:r>
        <w:t>Les données recueillies indiquent que la situation concernant pistes rurales, transport, marchés, saison des pluies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29</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8</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pistes rurales, transport, marchés, saison des pluies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pistes rurales, transport, marchés, saison des pluies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