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référence sur climat et développement local</w:t>
      </w:r>
    </w:p>
    <w:p>
      <w:pPr>
        <w:jc w:val="center"/>
      </w:pPr>
      <w:r>
        <w:rPr>
          <w:i/>
          <w:sz w:val="22"/>
        </w:rPr>
        <w:t>Rapport d’étude fictif sur sécheresse, inondation, semences, diversification</w:t>
      </w:r>
    </w:p>
    <w:p>
      <w:pPr>
        <w:jc w:val="center"/>
      </w:pPr>
      <w:r>
        <w:rPr>
          <w:sz w:val="20"/>
        </w:rPr>
        <w:br/>
        <w:t>Référence : RAP-CLI-112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sécheresse, inondation, semences, diversification dans les zones de Sahel, Yagha, Seno.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sécheresse, inondation, semences, diversification.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sécheresse, inondation, semences, diversification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sécheresse, inondation, semences, diversification,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Yagha, Seno.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727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451</w:t>
            </w:r>
          </w:p>
        </w:tc>
        <w:tc>
          <w:tcPr>
            <w:tcW w:type="dxa" w:w="3312"/>
            <w:vAlign w:val="center"/>
          </w:tcPr>
          <w:p>
            <w:r/>
            <w:r>
              <w:rPr>
                <w:b w:val="0"/>
                <w:sz w:val="18"/>
              </w:rPr>
              <w:t>62,0</w:t>
            </w:r>
          </w:p>
        </w:tc>
      </w:tr>
      <w:tr>
        <w:tc>
          <w:tcPr>
            <w:tcW w:type="dxa" w:w="3312"/>
            <w:vAlign w:val="center"/>
          </w:tcPr>
          <w:p>
            <w:r/>
            <w:r>
              <w:rPr>
                <w:b w:val="0"/>
                <w:sz w:val="18"/>
              </w:rPr>
              <w:t>Zone rurale</w:t>
            </w:r>
          </w:p>
        </w:tc>
        <w:tc>
          <w:tcPr>
            <w:tcW w:type="dxa" w:w="3312"/>
            <w:vAlign w:val="center"/>
          </w:tcPr>
          <w:p>
            <w:r/>
            <w:r>
              <w:rPr>
                <w:b w:val="0"/>
                <w:sz w:val="18"/>
              </w:rPr>
              <w:t>276</w:t>
            </w:r>
          </w:p>
        </w:tc>
        <w:tc>
          <w:tcPr>
            <w:tcW w:type="dxa" w:w="3312"/>
            <w:vAlign w:val="center"/>
          </w:tcPr>
          <w:p>
            <w:r/>
            <w:r>
              <w:rPr>
                <w:b w:val="0"/>
                <w:sz w:val="18"/>
              </w:rPr>
              <w:t>38,0</w:t>
            </w:r>
          </w:p>
        </w:tc>
      </w:tr>
      <w:tr>
        <w:tc>
          <w:tcPr>
            <w:tcW w:type="dxa" w:w="3312"/>
            <w:vAlign w:val="center"/>
          </w:tcPr>
          <w:p>
            <w:r/>
            <w:r>
              <w:rPr>
                <w:b w:val="0"/>
                <w:sz w:val="18"/>
              </w:rPr>
              <w:t>Femmes / unités dirigées par une femme</w:t>
            </w:r>
          </w:p>
        </w:tc>
        <w:tc>
          <w:tcPr>
            <w:tcW w:type="dxa" w:w="3312"/>
            <w:vAlign w:val="center"/>
          </w:tcPr>
          <w:p>
            <w:r/>
            <w:r>
              <w:rPr>
                <w:b w:val="0"/>
                <w:sz w:val="18"/>
              </w:rPr>
              <w:t>327</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montrent que la situation concernant sécheresse, inondation, semences, diversification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sécheresse, inondation, semences, diversification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sécheresse, inondation, semences, diversification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