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jc w:val="center"/>
      </w:pPr>
      <w:r>
        <w:rPr>
          <w:rFonts w:ascii="Times New Roman" w:hAnsi="Times New Roman"/>
          <w:b/>
          <w:sz w:val="28"/>
        </w:rPr>
        <w:t>BURKINA FASO</w:t>
        <w:br/>
      </w:r>
      <w:r>
        <w:rPr>
          <w:rFonts w:ascii="Times New Roman" w:hAnsi="Times New Roman"/>
          <w:b/>
          <w:sz w:val="22"/>
        </w:rPr>
        <w:t>DOCUMENT FICTIF DE TEST</w:t>
        <w:br/>
      </w:r>
      <w:r>
        <w:rPr>
          <w:rFonts w:ascii="Times New Roman" w:hAnsi="Times New Roman"/>
          <w:b/>
          <w:sz w:val="32"/>
        </w:rPr>
        <w:br/>
        <w:t>Évaluation de la qualité des services de santé maternelle dans les districts ciblés</w:t>
      </w:r>
    </w:p>
    <w:p>
      <w:pPr>
        <w:jc w:val="center"/>
      </w:pPr>
      <w:r>
        <w:rPr>
          <w:i/>
          <w:sz w:val="22"/>
        </w:rPr>
        <w:t>Termes de références pour une étude sur consultations prénatales, accouchement, référencement, disponibilité des médicaments</w:t>
      </w:r>
    </w:p>
    <w:p>
      <w:pPr>
        <w:jc w:val="center"/>
      </w:pPr>
      <w:r>
        <w:rPr>
          <w:sz w:val="20"/>
        </w:rPr>
        <w:br/>
        <w:t>Référence : TDR-SAN-003</w:t>
        <w:br/>
        <w:t>Année : 2026</w:t>
      </w:r>
    </w:p>
    <w:p>
      <w:r>
        <w:br w:type="page"/>
      </w:r>
    </w:p>
    <w:p>
      <w:pPr>
        <w:pStyle w:val="Heading1"/>
      </w:pPr>
      <w:r>
        <w:t>1. Contexte et justification</w:t>
      </w:r>
    </w:p>
    <w:p>
      <w:r>
        <w:t>Dans le cadre de l’amélioration de la programmation des interventions publiques et de l’appui aux acteurs locaux, Direction des Études et de la Planification envisage la réalisation d’une étude portant sur consultations prénatales, accouchement, référencement, disponibilité des médicaments. La mission concerne prioritairement les zones suivantes : Centre-Nord, Sanmatenga, Namentenga.</w:t>
      </w:r>
    </w:p>
    <w:p>
      <w:r>
        <w:t>Les évolutions observées dans le secteur de santé rendent nécessaire la disponibilité de données actualisées, comparables et suffisamment détaillées pour éclairer les choix opérationnels. Les informations existantes sont parfois dispersées entre plusieurs structures et ne permettent pas toujours de disposer d’une lecture homogène des réalités locales.</w:t>
      </w:r>
    </w:p>
    <w:p>
      <w:r>
        <w:t>La présente étude doit donc permettre de produire un diagnostic utilisable par les décideurs et les équipes techniques, en tenant compte des réalités des populations, des capacités institutionnelles et des contraintes de mise en œuvre.</w:t>
      </w:r>
    </w:p>
    <w:p>
      <w:pPr>
        <w:pStyle w:val="Heading1"/>
      </w:pPr>
      <w:r>
        <w:t>2. Objectifs et champ de l’étude</w:t>
      </w:r>
    </w:p>
    <w:p>
      <w:pPr>
        <w:pStyle w:val="Heading2"/>
      </w:pPr>
      <w:r>
        <w:t>2.1 Objectif général</w:t>
      </w:r>
    </w:p>
    <w:p>
      <w:r>
        <w:t>Améliorer la disponibilité d’informations fiables sur consultations prénatales, accouchement, référencement, disponibilité des médicaments, afin d’orienter la programmation et les décisions des acteurs concernés.</w:t>
      </w:r>
    </w:p>
    <w:p>
      <w:pPr>
        <w:pStyle w:val="Heading2"/>
      </w:pPr>
      <w:r>
        <w:t>2.2 Objectifs spécifiques</w:t>
      </w:r>
    </w:p>
    <w:p>
      <w:pPr>
        <w:pStyle w:val="ListNumber"/>
      </w:pPr>
      <w:r>
        <w:t>Décrire la situation actuelle concernant consultations prénatales, accouchement, référencement, disponibilité des médicaments dans les zones couvertes.</w:t>
      </w:r>
    </w:p>
    <w:p>
      <w:pPr>
        <w:pStyle w:val="ListNumber"/>
      </w:pPr>
      <w:r>
        <w:t>Identifier les principaux facteurs qui influencent l’accès, la qualité ou la performance des interventions liées à consultations prénatales, accouchement, référencement, disponibilité des médicaments.</w:t>
      </w:r>
    </w:p>
    <w:p>
      <w:pPr>
        <w:pStyle w:val="ListNumber"/>
      </w:pPr>
      <w:r>
        <w:t>Analyser les contraintes institutionnelles, techniques, économiques et sociales rencontrées par les acteurs.</w:t>
      </w:r>
    </w:p>
    <w:p>
      <w:pPr>
        <w:pStyle w:val="ListNumber"/>
      </w:pPr>
      <w:r>
        <w:t>Documenter les pratiques existantes et les initiatives jugées pertinentes.</w:t>
      </w:r>
    </w:p>
    <w:p>
      <w:pPr>
        <w:pStyle w:val="ListNumber"/>
      </w:pPr>
      <w:r>
        <w:t>Formuler des recommandations opérationnelles hiérarchisées et réalistes.</w:t>
      </w:r>
    </w:p>
    <w:p>
      <w:pPr>
        <w:pStyle w:val="Heading2"/>
      </w:pPr>
      <w:r>
        <w:t>2.3 Champ de l’étude</w:t>
      </w:r>
    </w:p>
    <w:p>
      <w:r>
        <w:t>L’étude couvrira les localités et structures retenues dans les zones suivantes : Centre-Nord, Sanmatenga, Namentenga. Les analyses devront, lorsque les données le permettent, être désagrégées selon le milieu de résidence, le sexe, la catégorie d’acteur, la taille de la structure et tout autre critère pertinent.</w:t>
      </w:r>
    </w:p>
    <w:p>
      <w:pPr>
        <w:pStyle w:val="Heading1"/>
      </w:pPr>
      <w:r>
        <w:t>3. Résultats attendus</w:t>
      </w:r>
    </w:p>
    <w:p>
      <w:pPr>
        <w:pStyle w:val="ListBullet"/>
      </w:pPr>
      <w:r>
        <w:t>Un diagnostic documenté de consultations prénatales, accouchement, référencement, disponibilité des médicaments est disponible.</w:t>
      </w:r>
    </w:p>
    <w:p>
      <w:pPr>
        <w:pStyle w:val="ListBullet"/>
      </w:pPr>
      <w:r>
        <w:t>Les principaux écarts, contraintes et opportunités sont identifiés et analysés.</w:t>
      </w:r>
    </w:p>
    <w:p>
      <w:pPr>
        <w:pStyle w:val="ListBullet"/>
      </w:pPr>
      <w:r>
        <w:t>Les données collectées sont organisées, contrôlées et présentées sous forme de tableaux et de graphiques.</w:t>
      </w:r>
    </w:p>
    <w:p>
      <w:pPr>
        <w:pStyle w:val="ListBullet"/>
      </w:pPr>
      <w:r>
        <w:t>Les acteurs clés et leurs rôles sont cartographiés.</w:t>
      </w:r>
    </w:p>
    <w:p>
      <w:pPr>
        <w:pStyle w:val="ListBullet"/>
      </w:pPr>
      <w:r>
        <w:t>Un plan de recommandations priorisées est proposé.</w:t>
      </w:r>
    </w:p>
    <w:p>
      <w:pPr>
        <w:pStyle w:val="Heading1"/>
      </w:pPr>
      <w:r>
        <w:t>4. Méthodologie</w:t>
      </w:r>
    </w:p>
    <w:p>
      <w:r>
        <w:t>Le bureau d’études travaillera sous la supervision d’un comité de suivi désigné par le maître d’ouvrage. La mission reposera sur une méthodologie structurée autour d’une revue documentaire, d’une collecte de données auprès des ménages ou structures ciblées, d’entretiens qualitatifs et d’une séance de validation des résultats.</w:t>
      </w:r>
    </w:p>
    <w:p>
      <w:pPr>
        <w:pStyle w:val="Heading2"/>
      </w:pPr>
      <w:r>
        <w:t>4.1 Revue documentaire</w:t>
      </w:r>
    </w:p>
    <w:p>
      <w:r>
        <w:t>Le consultant exploitera les documents disponibles auprès du maître d’ouvrage, des services déconcentrés, des collectivités et des partenaires. Une matrice de synthèse des sources consultées sera produite.</w:t>
      </w:r>
    </w:p>
    <w:p>
      <w:pPr>
        <w:pStyle w:val="Heading2"/>
      </w:pPr>
      <w:r>
        <w:t>4.2 Collecte de données</w:t>
      </w:r>
    </w:p>
    <w:p>
      <w:r>
        <w:t>Les outils de collecte seront soumis à validation avant le démarrage du terrain. Lorsque cela est pertinent, la collecte pourra être administrée sur support électronique. Les données feront l’objet de contrôles de cohérence, de nettoyage et d’une documentation minimale.</w:t>
      </w:r>
    </w:p>
    <w:p>
      <w:pPr>
        <w:pStyle w:val="Heading2"/>
      </w:pPr>
      <w:r>
        <w:t>4.3 Analyse</w:t>
      </w:r>
    </w:p>
    <w:p>
      <w:r>
        <w:t>L’analyse combinera statistiques descriptives, analyse qualitative des entretiens, comparaison entre zones et interprétation des résultats. Les constats majeurs seront reliés aux objectifs de l’étude.</w:t>
      </w:r>
    </w:p>
    <w:p>
      <w:pPr>
        <w:pStyle w:val="Heading2"/>
      </w:pPr>
      <w:r>
        <w:t>4.4 Restitution</w:t>
      </w:r>
    </w:p>
    <w:p>
      <w:r>
        <w:t>Une séance de restitution permettra de discuter les résultats provisoires, de recueillir les observations des parties prenantes et de consolider les recommandations.</w:t>
      </w:r>
    </w:p>
    <w:p>
      <w:pPr>
        <w:pStyle w:val="Heading1"/>
      </w:pPr>
      <w:r>
        <w:t>5. Mandat du bureau d’études</w:t>
      </w:r>
    </w:p>
    <w:p>
      <w:pPr>
        <w:pStyle w:val="ListNumber"/>
      </w:pPr>
      <w:r>
        <w:t>Organiser une réunion de cadrage avec le comité de suivi.</w:t>
      </w:r>
    </w:p>
    <w:p>
      <w:pPr>
        <w:pStyle w:val="ListNumber"/>
      </w:pPr>
      <w:r>
        <w:t>Proposer et faire valider la méthodologie et les outils de collecte.</w:t>
      </w:r>
    </w:p>
    <w:p>
      <w:pPr>
        <w:pStyle w:val="ListNumber"/>
      </w:pPr>
      <w:r>
        <w:t>Préparer et conduire les activités de collecte dans les zones retenues.</w:t>
      </w:r>
    </w:p>
    <w:p>
      <w:pPr>
        <w:pStyle w:val="ListNumber"/>
      </w:pPr>
      <w:r>
        <w:t>Traiter, analyser et documenter les données recueillies.</w:t>
      </w:r>
    </w:p>
    <w:p>
      <w:pPr>
        <w:pStyle w:val="ListNumber"/>
      </w:pPr>
      <w:r>
        <w:t>Présenter les résultats provisoires et intégrer les observations formulées.</w:t>
      </w:r>
    </w:p>
    <w:p>
      <w:pPr>
        <w:pStyle w:val="ListNumber"/>
      </w:pPr>
      <w:r>
        <w:t>Produire et transmettre le rapport final ainsi que les fichiers techniques associés.</w:t>
      </w:r>
    </w:p>
    <w:p>
      <w:pPr>
        <w:pStyle w:val="Heading1"/>
      </w:pPr>
      <w:r>
        <w:t>6. Profil du cabinet ou bureau d’études</w:t>
      </w:r>
    </w:p>
    <w:p>
      <w:r>
        <w:t>Le prestataire devra être légalement établi et disposer d’une expérience avérée dans la réalisation d’études ou d’enquêtes comparables. L’équipe proposée devra être pluridisciplinaire et adaptée aux exigences de la mission.</w:t>
      </w:r>
    </w:p>
    <w:p>
      <w:pPr>
        <w:pStyle w:val="ListBullet"/>
      </w:pPr>
      <w:r>
        <w:t>Un(e) expert(e) principal(e), chef(fe) d’équipe, titulaire au minimum d’un diplôme de niveau master dans un domaine pertinent.</w:t>
      </w:r>
    </w:p>
    <w:p>
      <w:pPr>
        <w:pStyle w:val="ListBullet"/>
      </w:pPr>
      <w:r>
        <w:t>Un(e) expert(e) associé(e) statisticien(ne), économiste, démographe ou spécialiste des données selon la nature de l’étude.</w:t>
      </w:r>
    </w:p>
    <w:p>
      <w:pPr>
        <w:pStyle w:val="ListBullet"/>
      </w:pPr>
      <w:r>
        <w:t>Un(e) expert(e) sectoriel(le) disposant d’expériences documentées dans le domaine concerné.</w:t>
      </w:r>
    </w:p>
    <w:p>
      <w:pPr>
        <w:pStyle w:val="ListBullet"/>
      </w:pPr>
      <w:r>
        <w:t>Du personnel d’appui pour la collecte, la saisie, la cartographie ou la documentation si nécessaire.</w:t>
      </w:r>
    </w:p>
    <w:p>
      <w:pPr>
        <w:pStyle w:val="Heading1"/>
      </w:pPr>
      <w:r>
        <w:t>7. Produits livrables</w:t>
      </w:r>
    </w:p>
    <w:p>
      <w:pPr>
        <w:pStyle w:val="ListBullet"/>
      </w:pPr>
      <w:r>
        <w:t>Rapport de démarrage comprenant la compréhension de la mission, la méthodologie détaillée, les outils de collecte et le chronogramme.</w:t>
      </w:r>
    </w:p>
    <w:p>
      <w:pPr>
        <w:pStyle w:val="ListBullet"/>
      </w:pPr>
      <w:r>
        <w:t>Rapport de collecte présentant la couverture, les difficultés rencontrées et l’état des données.</w:t>
      </w:r>
    </w:p>
    <w:p>
      <w:pPr>
        <w:pStyle w:val="ListBullet"/>
      </w:pPr>
      <w:r>
        <w:t>Rapport provisoire comprenant les analyses, tableaux, graphiques et premiers enseignements.</w:t>
      </w:r>
    </w:p>
    <w:p>
      <w:pPr>
        <w:pStyle w:val="ListBullet"/>
      </w:pPr>
      <w:r>
        <w:t>Support de présentation pour l’atelier de restitution.</w:t>
      </w:r>
    </w:p>
    <w:p>
      <w:pPr>
        <w:pStyle w:val="ListBullet"/>
      </w:pPr>
      <w:r>
        <w:t>Rapport final intégrant les observations du comité de suivi et les annexes techniques.</w:t>
      </w:r>
    </w:p>
    <w:p>
      <w:pPr>
        <w:pStyle w:val="Heading1"/>
      </w:pPr>
      <w:r>
        <w:t>8. Durée et chronogramme indicatif</w:t>
      </w:r>
    </w:p>
    <w:p>
      <w:r>
        <w:t>La durée indicative de la mission est fixée à 60 jours calendaires à compter de la notification du contrat.</w:t>
      </w:r>
    </w:p>
    <w:tbl>
      <w:tblPr>
        <w:tblStyle w:val="TableGrid"/>
        <w:tblW w:type="auto" w:w="0"/>
        <w:jc w:val="center"/>
        <w:tblLook w:firstColumn="1" w:firstRow="1" w:lastColumn="0" w:lastRow="0" w:noHBand="0" w:noVBand="1" w:val="04A0"/>
        <w:tblBorders>
          <w:top w:val="single" w:sz="4"/>
          <w:left w:val="single" w:sz="4"/>
          <w:bottom w:val="single" w:sz="4"/>
          <w:right w:val="single" w:sz="4"/>
          <w:insideH w:val="single" w:sz="4"/>
          <w:insideV w:val="single" w:sz="4"/>
        </w:tblBorders>
      </w:tblPr>
      <w:tblGrid>
        <w:gridCol w:w="4968"/>
        <w:gridCol w:w="4968"/>
      </w:tblGrid>
      <w:tr>
        <w:tc>
          <w:tcPr>
            <w:tcW w:type="dxa" w:w="4968"/>
            <w:vAlign w:val="center"/>
          </w:tcPr>
          <w:p>
            <w:r/>
            <w:r>
              <w:rPr>
                <w:b/>
                <w:sz w:val="18"/>
              </w:rPr>
              <w:t>Étapes / produits</w:t>
            </w:r>
          </w:p>
        </w:tc>
        <w:tc>
          <w:tcPr>
            <w:tcW w:type="dxa" w:w="4968"/>
            <w:vAlign w:val="center"/>
          </w:tcPr>
          <w:p>
            <w:r/>
            <w:r>
              <w:rPr>
                <w:b/>
                <w:sz w:val="18"/>
              </w:rPr>
              <w:t>Échéance indicative</w:t>
            </w:r>
          </w:p>
        </w:tc>
      </w:tr>
      <w:tr>
        <w:tc>
          <w:tcPr>
            <w:tcW w:type="dxa" w:w="4968"/>
            <w:vAlign w:val="center"/>
          </w:tcPr>
          <w:p>
            <w:r/>
            <w:r>
              <w:rPr>
                <w:b w:val="0"/>
                <w:sz w:val="18"/>
              </w:rPr>
              <w:t>Réunion de cadrage</w:t>
            </w:r>
          </w:p>
        </w:tc>
        <w:tc>
          <w:tcPr>
            <w:tcW w:type="dxa" w:w="4968"/>
            <w:vAlign w:val="center"/>
          </w:tcPr>
          <w:p>
            <w:r/>
            <w:r>
              <w:rPr>
                <w:b w:val="0"/>
                <w:sz w:val="18"/>
              </w:rPr>
              <w:t>Semaine 1</w:t>
            </w:r>
          </w:p>
        </w:tc>
      </w:tr>
      <w:tr>
        <w:tc>
          <w:tcPr>
            <w:tcW w:type="dxa" w:w="4968"/>
            <w:vAlign w:val="center"/>
          </w:tcPr>
          <w:p>
            <w:r/>
            <w:r>
              <w:rPr>
                <w:b w:val="0"/>
                <w:sz w:val="18"/>
              </w:rPr>
              <w:t>Rapport de démarrage</w:t>
            </w:r>
          </w:p>
        </w:tc>
        <w:tc>
          <w:tcPr>
            <w:tcW w:type="dxa" w:w="4968"/>
            <w:vAlign w:val="center"/>
          </w:tcPr>
          <w:p>
            <w:r/>
            <w:r>
              <w:rPr>
                <w:b w:val="0"/>
                <w:sz w:val="18"/>
              </w:rPr>
              <w:t>Semaine 2</w:t>
            </w:r>
          </w:p>
        </w:tc>
      </w:tr>
      <w:tr>
        <w:tc>
          <w:tcPr>
            <w:tcW w:type="dxa" w:w="4968"/>
            <w:vAlign w:val="center"/>
          </w:tcPr>
          <w:p>
            <w:r/>
            <w:r>
              <w:rPr>
                <w:b w:val="0"/>
                <w:sz w:val="18"/>
              </w:rPr>
              <w:t>Collecte de terrain</w:t>
            </w:r>
          </w:p>
        </w:tc>
        <w:tc>
          <w:tcPr>
            <w:tcW w:type="dxa" w:w="4968"/>
            <w:vAlign w:val="center"/>
          </w:tcPr>
          <w:p>
            <w:r/>
            <w:r>
              <w:rPr>
                <w:b w:val="0"/>
                <w:sz w:val="18"/>
              </w:rPr>
              <w:t>Semaines 2 à 8</w:t>
            </w:r>
          </w:p>
        </w:tc>
      </w:tr>
      <w:tr>
        <w:tc>
          <w:tcPr>
            <w:tcW w:type="dxa" w:w="4968"/>
            <w:vAlign w:val="center"/>
          </w:tcPr>
          <w:p>
            <w:r/>
            <w:r>
              <w:rPr>
                <w:b w:val="0"/>
                <w:sz w:val="18"/>
              </w:rPr>
              <w:t>Rapport provisoire</w:t>
            </w:r>
          </w:p>
        </w:tc>
        <w:tc>
          <w:tcPr>
            <w:tcW w:type="dxa" w:w="4968"/>
            <w:vAlign w:val="center"/>
          </w:tcPr>
          <w:p>
            <w:r/>
            <w:r>
              <w:rPr>
                <w:b w:val="0"/>
                <w:sz w:val="18"/>
              </w:rPr>
              <w:t>Semaine 5</w:t>
            </w:r>
          </w:p>
        </w:tc>
      </w:tr>
      <w:tr>
        <w:tc>
          <w:tcPr>
            <w:tcW w:type="dxa" w:w="4968"/>
            <w:vAlign w:val="center"/>
          </w:tcPr>
          <w:p>
            <w:r/>
            <w:r>
              <w:rPr>
                <w:b w:val="0"/>
                <w:sz w:val="18"/>
              </w:rPr>
              <w:t>Atelier de restitution</w:t>
            </w:r>
          </w:p>
        </w:tc>
        <w:tc>
          <w:tcPr>
            <w:tcW w:type="dxa" w:w="4968"/>
            <w:vAlign w:val="center"/>
          </w:tcPr>
          <w:p>
            <w:r/>
            <w:r>
              <w:rPr>
                <w:b w:val="0"/>
                <w:sz w:val="18"/>
              </w:rPr>
              <w:t>Semaine 6</w:t>
            </w:r>
          </w:p>
        </w:tc>
      </w:tr>
      <w:tr>
        <w:tc>
          <w:tcPr>
            <w:tcW w:type="dxa" w:w="4968"/>
            <w:vAlign w:val="center"/>
          </w:tcPr>
          <w:p>
            <w:r/>
            <w:r>
              <w:rPr>
                <w:b w:val="0"/>
                <w:sz w:val="18"/>
              </w:rPr>
              <w:t>Rapport final</w:t>
            </w:r>
          </w:p>
        </w:tc>
        <w:tc>
          <w:tcPr>
            <w:tcW w:type="dxa" w:w="4968"/>
            <w:vAlign w:val="center"/>
          </w:tcPr>
          <w:p>
            <w:r/>
            <w:r>
              <w:rPr>
                <w:b w:val="0"/>
                <w:sz w:val="18"/>
              </w:rPr>
              <w:t>Semaine 7</w:t>
            </w:r>
          </w:p>
        </w:tc>
      </w:tr>
    </w:tbl>
    <w:p/>
    <w:p>
      <w:pPr>
        <w:pStyle w:val="Heading1"/>
      </w:pPr>
      <w:r>
        <w:t>9. Coordination et suivi</w:t>
      </w:r>
    </w:p>
    <w:p>
      <w:r>
        <w:t>Le comité de suivi facilite l’accès à la documentation, valide les principaux outils, suit l’avancement et formule les observations nécessaires. Le prestataire reste responsable de la qualité technique et de la cohérence des livrables.</w:t>
      </w:r>
    </w:p>
    <w:p>
      <w:pPr>
        <w:pStyle w:val="Heading1"/>
      </w:pPr>
      <w:r>
        <w:t>10. Budget indicatif</w:t>
      </w:r>
    </w:p>
    <w:p>
      <w:r>
        <w:t>Le budget prévisionnel de la mission est estimé à 10,500,000 FCFA, toutes dépenses liées à la mission comprises. Ce montant est fictif et destiné uniquement aux essais du système.</w:t>
      </w:r>
    </w:p>
    <w:p>
      <w:pPr>
        <w:pStyle w:val="Heading1"/>
      </w:pPr>
      <w:r>
        <w:t>11. Dossier de candidature</w:t>
      </w:r>
    </w:p>
    <w:p>
      <w:r>
        <w:t>L’offre technique et l’offre financière seront présentées séparément. L’offre technique comprendra notamment la compréhension des TDR, la méthodologie, le chronogramme, les CV des experts et des références de missions similaires. L’offre financière détaillera les honoraires, la logistique et les autres coûts nécessaires.</w:t>
      </w:r>
    </w:p>
    <w:p>
      <w:pPr>
        <w:pStyle w:val="Heading1"/>
      </w:pPr>
      <w:r>
        <w:t>12. Dispositions relatives aux données</w:t>
      </w:r>
    </w:p>
    <w:p>
      <w:r>
        <w:t>Les données collectées dans le cadre de la mission seront traitées de manière confidentielle. Les fichiers remis au maître d’ouvrage devront être organisés, documentés et accompagnés des éléments nécessaires à leur exploitation.</w:t>
      </w:r>
    </w:p>
    <w:p>
      <w:pPr>
        <w:pStyle w:val="Heading1"/>
      </w:pPr>
      <w:r>
        <w:t>13. Critères indicatifs d’évaluation</w:t>
      </w:r>
    </w:p>
    <w:tbl>
      <w:tblPr>
        <w:tblStyle w:val="TableGrid"/>
        <w:tblW w:type="auto" w:w="0"/>
        <w:jc w:val="center"/>
        <w:tblLook w:firstColumn="1" w:firstRow="1" w:lastColumn="0" w:lastRow="0" w:noHBand="0" w:noVBand="1" w:val="04A0"/>
        <w:tblBorders>
          <w:top w:val="single" w:sz="4"/>
          <w:left w:val="single" w:sz="4"/>
          <w:bottom w:val="single" w:sz="4"/>
          <w:right w:val="single" w:sz="4"/>
          <w:insideH w:val="single" w:sz="4"/>
          <w:insideV w:val="single" w:sz="4"/>
        </w:tblBorders>
      </w:tblPr>
      <w:tblGrid>
        <w:gridCol w:w="4968"/>
        <w:gridCol w:w="4968"/>
      </w:tblGrid>
      <w:tr>
        <w:tc>
          <w:tcPr>
            <w:tcW w:type="dxa" w:w="4968"/>
            <w:vAlign w:val="center"/>
          </w:tcPr>
          <w:p>
            <w:r/>
            <w:r>
              <w:rPr>
                <w:b/>
                <w:sz w:val="18"/>
              </w:rPr>
              <w:t>Critère</w:t>
            </w:r>
          </w:p>
        </w:tc>
        <w:tc>
          <w:tcPr>
            <w:tcW w:type="dxa" w:w="4968"/>
            <w:vAlign w:val="center"/>
          </w:tcPr>
          <w:p>
            <w:r/>
            <w:r>
              <w:rPr>
                <w:b/>
                <w:sz w:val="18"/>
              </w:rPr>
              <w:t>Pondération</w:t>
            </w:r>
          </w:p>
        </w:tc>
      </w:tr>
      <w:tr>
        <w:tc>
          <w:tcPr>
            <w:tcW w:type="dxa" w:w="4968"/>
            <w:vAlign w:val="center"/>
          </w:tcPr>
          <w:p>
            <w:r/>
            <w:r>
              <w:rPr>
                <w:b w:val="0"/>
                <w:sz w:val="18"/>
              </w:rPr>
              <w:t>Compréhension de la mission</w:t>
            </w:r>
          </w:p>
        </w:tc>
        <w:tc>
          <w:tcPr>
            <w:tcW w:type="dxa" w:w="4968"/>
            <w:vAlign w:val="center"/>
          </w:tcPr>
          <w:p>
            <w:r/>
            <w:r>
              <w:rPr>
                <w:b w:val="0"/>
                <w:sz w:val="18"/>
              </w:rPr>
              <w:t>15 %</w:t>
            </w:r>
          </w:p>
        </w:tc>
      </w:tr>
      <w:tr>
        <w:tc>
          <w:tcPr>
            <w:tcW w:type="dxa" w:w="4968"/>
            <w:vAlign w:val="center"/>
          </w:tcPr>
          <w:p>
            <w:r/>
            <w:r>
              <w:rPr>
                <w:b w:val="0"/>
                <w:sz w:val="18"/>
              </w:rPr>
              <w:t>Méthodologie proposée</w:t>
            </w:r>
          </w:p>
        </w:tc>
        <w:tc>
          <w:tcPr>
            <w:tcW w:type="dxa" w:w="4968"/>
            <w:vAlign w:val="center"/>
          </w:tcPr>
          <w:p>
            <w:r/>
            <w:r>
              <w:rPr>
                <w:b w:val="0"/>
                <w:sz w:val="18"/>
              </w:rPr>
              <w:t>25 %</w:t>
            </w:r>
          </w:p>
        </w:tc>
      </w:tr>
      <w:tr>
        <w:tc>
          <w:tcPr>
            <w:tcW w:type="dxa" w:w="4968"/>
            <w:vAlign w:val="center"/>
          </w:tcPr>
          <w:p>
            <w:r/>
            <w:r>
              <w:rPr>
                <w:b w:val="0"/>
                <w:sz w:val="18"/>
              </w:rPr>
              <w:t>Expérience du cabinet</w:t>
            </w:r>
          </w:p>
        </w:tc>
        <w:tc>
          <w:tcPr>
            <w:tcW w:type="dxa" w:w="4968"/>
            <w:vAlign w:val="center"/>
          </w:tcPr>
          <w:p>
            <w:r/>
            <w:r>
              <w:rPr>
                <w:b w:val="0"/>
                <w:sz w:val="18"/>
              </w:rPr>
              <w:t>20 %</w:t>
            </w:r>
          </w:p>
        </w:tc>
      </w:tr>
      <w:tr>
        <w:tc>
          <w:tcPr>
            <w:tcW w:type="dxa" w:w="4968"/>
            <w:vAlign w:val="center"/>
          </w:tcPr>
          <w:p>
            <w:r/>
            <w:r>
              <w:rPr>
                <w:b w:val="0"/>
                <w:sz w:val="18"/>
              </w:rPr>
              <w:t>Qualification et expérience de l’équipe</w:t>
            </w:r>
          </w:p>
        </w:tc>
        <w:tc>
          <w:tcPr>
            <w:tcW w:type="dxa" w:w="4968"/>
            <w:vAlign w:val="center"/>
          </w:tcPr>
          <w:p>
            <w:r/>
            <w:r>
              <w:rPr>
                <w:b w:val="0"/>
                <w:sz w:val="18"/>
              </w:rPr>
              <w:t>25 %</w:t>
            </w:r>
          </w:p>
        </w:tc>
      </w:tr>
      <w:tr>
        <w:tc>
          <w:tcPr>
            <w:tcW w:type="dxa" w:w="4968"/>
            <w:vAlign w:val="center"/>
          </w:tcPr>
          <w:p>
            <w:r/>
            <w:r>
              <w:rPr>
                <w:b w:val="0"/>
                <w:sz w:val="18"/>
              </w:rPr>
              <w:t>Chronogramme et organisation</w:t>
            </w:r>
          </w:p>
        </w:tc>
        <w:tc>
          <w:tcPr>
            <w:tcW w:type="dxa" w:w="4968"/>
            <w:vAlign w:val="center"/>
          </w:tcPr>
          <w:p>
            <w:r/>
            <w:r>
              <w:rPr>
                <w:b w:val="0"/>
                <w:sz w:val="18"/>
              </w:rPr>
              <w:t>15 %</w:t>
            </w:r>
          </w:p>
        </w:tc>
      </w:tr>
    </w:tbl>
    <w:p/>
    <w:p>
      <w:r>
        <w:t>Document fictif généré à partir de la structure et du niveau de détail observés dans les TDR fournis par l’utilisateur. Il ne constitue pas un document administratif réel.</w:t>
      </w:r>
    </w:p>
    <w:sectPr w:rsidR="00FC693F" w:rsidRPr="0006063C" w:rsidSect="00034616">
      <w:headerReference w:type="default" r:id="rId9"/>
      <w:footerReference w:type="default" r:id="rId10"/>
      <w:pgSz w:w="12240" w:h="15840"/>
      <w:pgMar w:top="1008" w:right="1152" w:bottom="1008" w:left="1152"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center"/>
    </w:pPr>
    <w:r>
      <w:rPr>
        <w:rFonts w:ascii="Times New Roman" w:hAnsi="Times New Roman"/>
        <w:sz w:val="16"/>
      </w:rPr>
      <w:t>Corpus synthétique — usage expérimental uniquement</w:t>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center"/>
    </w:pPr>
    <w:r>
      <w:rPr>
        <w:rFonts w:ascii="Times New Roman" w:hAnsi="Times New Roman"/>
        <w:sz w:val="16"/>
      </w:rPr>
      <w:t>DOCUMENT FICTIF — CORPUS DE TEST DU DÉTECTEUR DE PLAGIAT ET DE DOUBLON</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after="100" w:line="259" w:lineRule="auto"/>
    </w:pPr>
    <w:rPr>
      <w:rFonts w:ascii="Times New Roman" w:hAnsi="Times New Roman"/>
      <w:sz w:val="21"/>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ascii="Times New Roman" w:hAnsi="Times New Roman"/>
      <w:b/>
      <w:bCs/>
      <w:color w:val="365F91" w:themeColor="accent1" w:themeShade="BF"/>
      <w:sz w:val="26"/>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ascii="Times New Roman" w:hAnsi="Times New Roman"/>
      <w:b/>
      <w:bCs/>
      <w:color w:val="4F81BD" w:themeColor="accent1"/>
      <w:sz w:val="23"/>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ascii="Times New Roman" w:hAnsi="Times New Roman"/>
      <w:b/>
      <w:bCs/>
      <w:color w:val="4F81BD" w:themeColor="accent1"/>
      <w:sz w:val="2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ascii="Times New Roman" w:hAnsi="Times New Roman"/>
      <w:b/>
      <w:color w:val="17365D" w:themeColor="text2" w:themeShade="BF"/>
      <w:spacing w:val="5"/>
      <w:kern w:val="28"/>
      <w:sz w:val="3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header" Target="header1.xml"/><Relationship Id="rId10"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