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F3D082" w14:textId="77777777" w:rsidR="009B1E9E" w:rsidRDefault="002060DB">
      <w:pPr>
        <w:jc w:val="center"/>
      </w:pPr>
      <w:r>
        <w:rPr>
          <w:b/>
          <w:sz w:val="32"/>
        </w:rPr>
        <w:t>AI-Assisted Cooling Resilience Assessment of Data Centers under Extreme Heat</w:t>
      </w:r>
    </w:p>
    <w:p w14:paraId="7E92C0A6" w14:textId="518BB99A" w:rsidR="009B1E9E" w:rsidRPr="00934471" w:rsidRDefault="002060DB" w:rsidP="009C4643">
      <w:pPr>
        <w:jc w:val="center"/>
        <w:rPr>
          <w:rFonts w:cs="Times New Roman"/>
        </w:rPr>
      </w:pPr>
      <w:r>
        <w:t>Yang Baisong (A0317341M) and Zhao Dingyi</w:t>
      </w:r>
      <w:r w:rsidR="00934471">
        <w:t xml:space="preserve"> </w:t>
      </w:r>
      <w:r w:rsidR="00934471" w:rsidRPr="00934471">
        <w:rPr>
          <w:rFonts w:eastAsia="宋体" w:cs="Times New Roman"/>
          <w:lang w:eastAsia="zh-CN"/>
        </w:rPr>
        <w:t>(</w:t>
      </w:r>
      <w:r w:rsidR="00934471">
        <w:rPr>
          <w:rFonts w:eastAsia="宋体" w:cs="Times New Roman"/>
          <w:lang w:eastAsia="zh-CN"/>
        </w:rPr>
        <w:t>A0357194U</w:t>
      </w:r>
      <w:r w:rsidR="00934471" w:rsidRPr="00934471">
        <w:rPr>
          <w:rFonts w:eastAsia="宋体" w:cs="Times New Roman"/>
          <w:lang w:eastAsia="zh-CN"/>
        </w:rPr>
        <w:t>)</w:t>
      </w:r>
    </w:p>
    <w:p w14:paraId="5EF58DB3" w14:textId="77777777" w:rsidR="009B1E9E" w:rsidRDefault="002060DB" w:rsidP="009C4643">
      <w:pPr>
        <w:jc w:val="center"/>
      </w:pPr>
      <w:r>
        <w:t>BPS5231 AI for Sustainable Building Design</w:t>
      </w:r>
    </w:p>
    <w:p w14:paraId="0D49ED5D" w14:textId="77777777" w:rsidR="009B1E9E" w:rsidRDefault="002060DB">
      <w:pPr>
        <w:keepNext/>
      </w:pPr>
      <w:r>
        <w:rPr>
          <w:b/>
        </w:rPr>
        <w:t>1. Abstract</w:t>
      </w:r>
    </w:p>
    <w:p w14:paraId="6823BA63" w14:textId="77777777" w:rsidR="009B1E9E" w:rsidRDefault="002060DB">
      <w:pPr>
        <w:jc w:val="both"/>
      </w:pPr>
      <w:r>
        <w:t>Data centers combine high internal heat gains with stringent cooling requirements, making their operation sensitive to extreme heat and limited cooling capacity. This study proposes a building-scale framework that couples DesignBuilder/EnergyPlus with machine-learning surrogate models to assess cooling resilience under heatwave conditions. A physics-generated dataset will be produced by varying heatwave intensity and duration, IT load density, cooling-capacity ratio, and cooling setpoint. Simulation outputs will include peak cooling demand, HVAC electricity, maximum zone temperature, unmet cooling hours, and cooling-capacity margin. Random Forest and XGBoost models will be evaluated for rapid prediction and used to identify the transition between safe operation, low-margin operation, and cooling failure. At the interim stage, the research scope, candidate variables, response metrics, sampling strategy, and simulation-to-machine-learning workflow have been defined; model implementation and dataset generation form the next stage of work.</w:t>
      </w:r>
    </w:p>
    <w:p w14:paraId="3DB24B3F" w14:textId="77777777" w:rsidR="009B1E9E" w:rsidRPr="009C4643" w:rsidRDefault="002060DB">
      <w:pPr>
        <w:jc w:val="both"/>
        <w:rPr>
          <w:iCs/>
        </w:rPr>
      </w:pPr>
      <w:r w:rsidRPr="009C4643">
        <w:rPr>
          <w:iCs/>
        </w:rPr>
        <w:t>Keywords: data center; extreme heat; cooling resilience; EnergyPlus; surrogate model; machine learning</w:t>
      </w:r>
    </w:p>
    <w:p w14:paraId="7BFD7D36" w14:textId="77777777" w:rsidR="009B1E9E" w:rsidRDefault="002060DB">
      <w:pPr>
        <w:keepNext/>
      </w:pPr>
      <w:r>
        <w:rPr>
          <w:b/>
        </w:rPr>
        <w:t>2. Introduction</w:t>
      </w:r>
    </w:p>
    <w:p w14:paraId="46B96BD7" w14:textId="77777777" w:rsidR="009B1E9E" w:rsidRDefault="002060DB">
      <w:pPr>
        <w:keepNext/>
      </w:pPr>
      <w:r>
        <w:rPr>
          <w:b/>
        </w:rPr>
        <w:t>2.1 Problem Description and Research Gap</w:t>
      </w:r>
    </w:p>
    <w:p w14:paraId="526AEE3F" w14:textId="77777777" w:rsidR="009B1E9E" w:rsidRDefault="002060DB">
      <w:pPr>
        <w:jc w:val="both"/>
      </w:pPr>
      <w:r>
        <w:t xml:space="preserve">Data centers operate with high and relatively continuous internal heat gains. Their cooling systems must therefore maintain acceptable thermal conditions while responding to variations in IT load and outdoor conditions. ASHRAE thermal guidelines for data-processing environments provide a reference for defining acceptable operating conditions and thermal exceedance criteria in data centers </w:t>
      </w:r>
      <w:r>
        <w:rPr>
          <w:vertAlign w:val="superscript"/>
        </w:rPr>
        <w:t>[1]</w:t>
      </w:r>
      <w:r>
        <w:t>.</w:t>
      </w:r>
    </w:p>
    <w:p w14:paraId="6B42CA3D" w14:textId="77777777" w:rsidR="009B1E9E" w:rsidRDefault="002060DB">
      <w:pPr>
        <w:jc w:val="both"/>
      </w:pPr>
      <w:r>
        <w:t>This project treats resilience as a system-level cooling problem rather than a rack-level airflow problem. The focus is on the ability of the building and HVAC system to maintain acceptable operating conditions during an extreme-heat disturbance. Detailed rack airflow, cold-aisle distribution, and local hot spots are outside the present scope. This distinction allows the study to use DesignBuilder/EnergyPlus for rapid scenario generation and to reserve machine learning for exploration of a much larger operating space.</w:t>
      </w:r>
    </w:p>
    <w:p w14:paraId="7C5580D0" w14:textId="77777777" w:rsidR="009B1E9E" w:rsidRDefault="002060DB">
      <w:pPr>
        <w:keepNext/>
      </w:pPr>
      <w:r>
        <w:rPr>
          <w:b/>
        </w:rPr>
        <w:lastRenderedPageBreak/>
        <w:t>2.2 Research Objectives</w:t>
      </w:r>
    </w:p>
    <w:p w14:paraId="773BB919" w14:textId="77777777" w:rsidR="009B1E9E" w:rsidRDefault="002060DB">
      <w:pPr>
        <w:jc w:val="both"/>
      </w:pPr>
      <w:r>
        <w:t>The study addresses three questions: (1) how heatwave intensity and duration affect cooling demand and thermal resilience under different IT loads; (2) whether a machine-learning surrogate can reproduce key EnergyPlus outputs accurately enough to identify a cooling resilience boundary; and (3) which operational adjustments can restore an acceptable margin when the system approaches failure. The intended contribution is therefore not only energy prediction, but a practical mapping between extreme-weather conditions, operating parameters, and cooling-system risk.</w:t>
      </w:r>
    </w:p>
    <w:p w14:paraId="4938F8EE" w14:textId="77777777" w:rsidR="009B1E9E" w:rsidRDefault="002060DB">
      <w:pPr>
        <w:keepNext/>
      </w:pPr>
      <w:r>
        <w:rPr>
          <w:b/>
        </w:rPr>
        <w:t>3. Proposed Methodology</w:t>
      </w:r>
    </w:p>
    <w:p w14:paraId="29B29E40" w14:textId="77777777" w:rsidR="009B1E9E" w:rsidRDefault="002060DB">
      <w:pPr>
        <w:keepNext/>
      </w:pPr>
      <w:r>
        <w:rPr>
          <w:b/>
        </w:rPr>
        <w:t>3.1 Research Object and Baseline Model</w:t>
      </w:r>
    </w:p>
    <w:p w14:paraId="446DC448" w14:textId="77777777" w:rsidR="009B1E9E" w:rsidRDefault="002060DB">
      <w:pPr>
        <w:jc w:val="both"/>
      </w:pPr>
      <w:r>
        <w:t xml:space="preserve">A simplified data-center building will be established in DesignBuilder and simulated using EnergyPlus. Server heat gains will be represented as high-density electric equipment loads rather than individual racks, because the present study addresses whole-building cooling resilience rather than rack-level airflow. EnergyPlus is a whole-building energy simulation program capable of representing building loads and HVAC system performance </w:t>
      </w:r>
      <w:r>
        <w:rPr>
          <w:vertAlign w:val="superscript"/>
        </w:rPr>
        <w:t>[2]</w:t>
      </w:r>
      <w:r>
        <w:t>.</w:t>
      </w:r>
    </w:p>
    <w:p w14:paraId="420FDF7D" w14:textId="77777777" w:rsidR="009B1E9E" w:rsidRDefault="002060DB">
      <w:pPr>
        <w:jc w:val="both"/>
      </w:pPr>
      <w:r>
        <w:t>The baseline case will first be checked under normal weather conditions to confirm that temperatures, cooling loads, and HVAC operation are physically reasonable. Extreme-heat cases will then be derived from the baseline weather by applying controlled temperature perturbations over defined heatwave periods. This provides a consistent basis for separating the effect of heatwave intensity from other weather variations.</w:t>
      </w:r>
    </w:p>
    <w:p w14:paraId="75FD965F" w14:textId="77777777" w:rsidR="009B1E9E" w:rsidRDefault="002060DB">
      <w:pPr>
        <w:keepNext/>
      </w:pPr>
      <w:r>
        <w:rPr>
          <w:b/>
        </w:rPr>
        <w:t>3.2 Dataset Generation and Variables</w:t>
      </w:r>
    </w:p>
    <w:p w14:paraId="1C7EC428" w14:textId="2CFEB95B" w:rsidR="009B1E9E" w:rsidRDefault="002060DB">
      <w:pPr>
        <w:jc w:val="both"/>
      </w:pPr>
      <w:r>
        <w:t>Because suitable public datasets containing data-center thermal failure cases are limited, the training dataset will be generated from physics-based simulations. Five primary input variables are proposed. Their ranges are preliminary and will be refined after the baseline model and literature review are completed.</w:t>
      </w:r>
    </w:p>
    <w:p w14:paraId="4319B006" w14:textId="7111B131" w:rsidR="002060DB" w:rsidRPr="002060DB" w:rsidRDefault="002060DB" w:rsidP="002060DB">
      <w:pPr>
        <w:jc w:val="both"/>
        <w:rPr>
          <w:sz w:val="21"/>
          <w:szCs w:val="21"/>
        </w:rPr>
      </w:pPr>
      <w:r w:rsidRPr="009C4643">
        <w:rPr>
          <w:sz w:val="21"/>
          <w:szCs w:val="21"/>
        </w:rPr>
        <w:t>Table 1. Proposed input variables for simulation dataset generation.</w:t>
      </w:r>
    </w:p>
    <w:tbl>
      <w:tblPr>
        <w:tblW w:w="9528" w:type="dxa"/>
        <w:jc w:val="center"/>
        <w:tblLayout w:type="fixed"/>
        <w:tblLook w:val="04A0" w:firstRow="1" w:lastRow="0" w:firstColumn="1" w:lastColumn="0" w:noHBand="0" w:noVBand="1"/>
      </w:tblPr>
      <w:tblGrid>
        <w:gridCol w:w="647"/>
        <w:gridCol w:w="3024"/>
        <w:gridCol w:w="2401"/>
        <w:gridCol w:w="3456"/>
      </w:tblGrid>
      <w:tr w:rsidR="009B1E9E" w14:paraId="5827D9F3" w14:textId="77777777" w:rsidTr="009C4643">
        <w:trPr>
          <w:jc w:val="center"/>
        </w:trPr>
        <w:tc>
          <w:tcPr>
            <w:tcW w:w="647" w:type="dxa"/>
            <w:tcBorders>
              <w:top w:val="single" w:sz="12" w:space="0" w:color="000000"/>
              <w:bottom w:val="single" w:sz="8" w:space="0" w:color="000000"/>
            </w:tcBorders>
            <w:vAlign w:val="center"/>
          </w:tcPr>
          <w:p w14:paraId="4637FFEF" w14:textId="77777777" w:rsidR="009B1E9E" w:rsidRDefault="002060DB" w:rsidP="009C4643">
            <w:pPr>
              <w:spacing w:after="0" w:line="240" w:lineRule="auto"/>
              <w:jc w:val="center"/>
            </w:pPr>
            <w:r>
              <w:rPr>
                <w:b/>
                <w:sz w:val="21"/>
              </w:rPr>
              <w:t>No.</w:t>
            </w:r>
          </w:p>
        </w:tc>
        <w:tc>
          <w:tcPr>
            <w:tcW w:w="3024" w:type="dxa"/>
            <w:tcBorders>
              <w:top w:val="single" w:sz="12" w:space="0" w:color="000000"/>
              <w:bottom w:val="single" w:sz="8" w:space="0" w:color="000000"/>
            </w:tcBorders>
            <w:vAlign w:val="center"/>
          </w:tcPr>
          <w:p w14:paraId="6D623FA6" w14:textId="77777777" w:rsidR="009B1E9E" w:rsidRDefault="002060DB" w:rsidP="009C4643">
            <w:pPr>
              <w:spacing w:after="0" w:line="240" w:lineRule="auto"/>
              <w:jc w:val="center"/>
            </w:pPr>
            <w:r>
              <w:rPr>
                <w:b/>
                <w:sz w:val="21"/>
              </w:rPr>
              <w:t>Variable</w:t>
            </w:r>
          </w:p>
        </w:tc>
        <w:tc>
          <w:tcPr>
            <w:tcW w:w="2401" w:type="dxa"/>
            <w:tcBorders>
              <w:top w:val="single" w:sz="12" w:space="0" w:color="000000"/>
              <w:bottom w:val="single" w:sz="8" w:space="0" w:color="000000"/>
            </w:tcBorders>
            <w:vAlign w:val="center"/>
          </w:tcPr>
          <w:p w14:paraId="6D30BC9C" w14:textId="77777777" w:rsidR="009B1E9E" w:rsidRDefault="002060DB" w:rsidP="009C4643">
            <w:pPr>
              <w:spacing w:after="0" w:line="240" w:lineRule="auto"/>
              <w:jc w:val="center"/>
            </w:pPr>
            <w:r>
              <w:rPr>
                <w:b/>
                <w:sz w:val="21"/>
              </w:rPr>
              <w:t>Initial range</w:t>
            </w:r>
          </w:p>
        </w:tc>
        <w:tc>
          <w:tcPr>
            <w:tcW w:w="3456" w:type="dxa"/>
            <w:tcBorders>
              <w:top w:val="single" w:sz="12" w:space="0" w:color="000000"/>
              <w:bottom w:val="single" w:sz="8" w:space="0" w:color="000000"/>
            </w:tcBorders>
            <w:vAlign w:val="center"/>
          </w:tcPr>
          <w:p w14:paraId="01C0AFE0" w14:textId="77777777" w:rsidR="009B1E9E" w:rsidRDefault="002060DB" w:rsidP="009C4643">
            <w:pPr>
              <w:spacing w:after="0" w:line="240" w:lineRule="auto"/>
              <w:jc w:val="center"/>
            </w:pPr>
            <w:r>
              <w:rPr>
                <w:b/>
                <w:sz w:val="21"/>
              </w:rPr>
              <w:t>Role in study</w:t>
            </w:r>
          </w:p>
        </w:tc>
      </w:tr>
      <w:tr w:rsidR="009B1E9E" w14:paraId="2CA26175" w14:textId="77777777" w:rsidTr="009C4643">
        <w:trPr>
          <w:jc w:val="center"/>
        </w:trPr>
        <w:tc>
          <w:tcPr>
            <w:tcW w:w="647" w:type="dxa"/>
            <w:vAlign w:val="center"/>
          </w:tcPr>
          <w:p w14:paraId="0BE11440" w14:textId="77777777" w:rsidR="009B1E9E" w:rsidRDefault="002060DB" w:rsidP="009C4643">
            <w:pPr>
              <w:spacing w:after="0" w:line="240" w:lineRule="auto"/>
              <w:jc w:val="center"/>
            </w:pPr>
            <w:r>
              <w:rPr>
                <w:sz w:val="21"/>
              </w:rPr>
              <w:t>1</w:t>
            </w:r>
          </w:p>
        </w:tc>
        <w:tc>
          <w:tcPr>
            <w:tcW w:w="3024" w:type="dxa"/>
            <w:vAlign w:val="center"/>
          </w:tcPr>
          <w:p w14:paraId="54D2A4FA" w14:textId="77777777" w:rsidR="009B1E9E" w:rsidRDefault="002060DB" w:rsidP="009C4643">
            <w:pPr>
              <w:spacing w:after="0" w:line="240" w:lineRule="auto"/>
              <w:jc w:val="center"/>
            </w:pPr>
            <w:r>
              <w:rPr>
                <w:sz w:val="21"/>
              </w:rPr>
              <w:t>Heatwave intensity, ΔT</w:t>
            </w:r>
          </w:p>
        </w:tc>
        <w:tc>
          <w:tcPr>
            <w:tcW w:w="2401" w:type="dxa"/>
            <w:vAlign w:val="center"/>
          </w:tcPr>
          <w:p w14:paraId="301000D5" w14:textId="77777777" w:rsidR="009B1E9E" w:rsidRDefault="002060DB" w:rsidP="009C4643">
            <w:pPr>
              <w:spacing w:after="0" w:line="240" w:lineRule="auto"/>
              <w:jc w:val="center"/>
            </w:pPr>
            <w:r>
              <w:rPr>
                <w:sz w:val="21"/>
              </w:rPr>
              <w:t>0 to +8 °C</w:t>
            </w:r>
          </w:p>
        </w:tc>
        <w:tc>
          <w:tcPr>
            <w:tcW w:w="3456" w:type="dxa"/>
            <w:vAlign w:val="center"/>
          </w:tcPr>
          <w:p w14:paraId="70FCC870" w14:textId="77777777" w:rsidR="009B1E9E" w:rsidRDefault="002060DB" w:rsidP="009C4643">
            <w:pPr>
              <w:spacing w:after="0" w:line="240" w:lineRule="auto"/>
              <w:jc w:val="center"/>
            </w:pPr>
            <w:r>
              <w:rPr>
                <w:sz w:val="21"/>
              </w:rPr>
              <w:t>Severity of the external thermal disturbance</w:t>
            </w:r>
          </w:p>
        </w:tc>
      </w:tr>
      <w:tr w:rsidR="009B1E9E" w14:paraId="5DF4E8B9" w14:textId="77777777" w:rsidTr="009C4643">
        <w:trPr>
          <w:jc w:val="center"/>
        </w:trPr>
        <w:tc>
          <w:tcPr>
            <w:tcW w:w="647" w:type="dxa"/>
            <w:vAlign w:val="center"/>
          </w:tcPr>
          <w:p w14:paraId="6C818737" w14:textId="77777777" w:rsidR="009B1E9E" w:rsidRDefault="002060DB" w:rsidP="009C4643">
            <w:pPr>
              <w:spacing w:after="0" w:line="240" w:lineRule="auto"/>
              <w:jc w:val="center"/>
            </w:pPr>
            <w:r>
              <w:rPr>
                <w:sz w:val="21"/>
              </w:rPr>
              <w:t>2</w:t>
            </w:r>
          </w:p>
        </w:tc>
        <w:tc>
          <w:tcPr>
            <w:tcW w:w="3024" w:type="dxa"/>
            <w:vAlign w:val="center"/>
          </w:tcPr>
          <w:p w14:paraId="402D2E49" w14:textId="77777777" w:rsidR="009B1E9E" w:rsidRDefault="002060DB" w:rsidP="009C4643">
            <w:pPr>
              <w:spacing w:after="0" w:line="240" w:lineRule="auto"/>
              <w:jc w:val="center"/>
            </w:pPr>
            <w:r>
              <w:rPr>
                <w:sz w:val="21"/>
              </w:rPr>
              <w:t>Heatwave duration</w:t>
            </w:r>
          </w:p>
        </w:tc>
        <w:tc>
          <w:tcPr>
            <w:tcW w:w="2401" w:type="dxa"/>
            <w:vAlign w:val="center"/>
          </w:tcPr>
          <w:p w14:paraId="2055702D" w14:textId="77777777" w:rsidR="009B1E9E" w:rsidRDefault="002060DB" w:rsidP="009C4643">
            <w:pPr>
              <w:spacing w:after="0" w:line="240" w:lineRule="auto"/>
              <w:jc w:val="center"/>
            </w:pPr>
            <w:r>
              <w:rPr>
                <w:sz w:val="21"/>
              </w:rPr>
              <w:t>1 to 5 days</w:t>
            </w:r>
          </w:p>
        </w:tc>
        <w:tc>
          <w:tcPr>
            <w:tcW w:w="3456" w:type="dxa"/>
            <w:vAlign w:val="center"/>
          </w:tcPr>
          <w:p w14:paraId="08BD3708" w14:textId="77777777" w:rsidR="009B1E9E" w:rsidRDefault="002060DB" w:rsidP="009C4643">
            <w:pPr>
              <w:spacing w:after="0" w:line="240" w:lineRule="auto"/>
              <w:jc w:val="center"/>
            </w:pPr>
            <w:r>
              <w:rPr>
                <w:sz w:val="21"/>
              </w:rPr>
              <w:t>Persistence of the disturbance</w:t>
            </w:r>
          </w:p>
        </w:tc>
      </w:tr>
      <w:tr w:rsidR="009B1E9E" w14:paraId="7856318F" w14:textId="77777777" w:rsidTr="009C4643">
        <w:trPr>
          <w:jc w:val="center"/>
        </w:trPr>
        <w:tc>
          <w:tcPr>
            <w:tcW w:w="647" w:type="dxa"/>
            <w:vAlign w:val="center"/>
          </w:tcPr>
          <w:p w14:paraId="1790F19A" w14:textId="77777777" w:rsidR="009B1E9E" w:rsidRDefault="002060DB" w:rsidP="009C4643">
            <w:pPr>
              <w:spacing w:after="0" w:line="240" w:lineRule="auto"/>
              <w:jc w:val="center"/>
            </w:pPr>
            <w:r>
              <w:rPr>
                <w:sz w:val="21"/>
              </w:rPr>
              <w:t>3</w:t>
            </w:r>
          </w:p>
        </w:tc>
        <w:tc>
          <w:tcPr>
            <w:tcW w:w="3024" w:type="dxa"/>
            <w:vAlign w:val="center"/>
          </w:tcPr>
          <w:p w14:paraId="2E91661B" w14:textId="77777777" w:rsidR="009B1E9E" w:rsidRDefault="002060DB" w:rsidP="009C4643">
            <w:pPr>
              <w:spacing w:after="0" w:line="240" w:lineRule="auto"/>
              <w:jc w:val="center"/>
            </w:pPr>
            <w:r>
              <w:rPr>
                <w:sz w:val="21"/>
              </w:rPr>
              <w:t>IT load density</w:t>
            </w:r>
          </w:p>
        </w:tc>
        <w:tc>
          <w:tcPr>
            <w:tcW w:w="2401" w:type="dxa"/>
            <w:vAlign w:val="center"/>
          </w:tcPr>
          <w:p w14:paraId="1B06E663" w14:textId="77777777" w:rsidR="009B1E9E" w:rsidRDefault="002060DB" w:rsidP="009C4643">
            <w:pPr>
              <w:spacing w:after="0" w:line="240" w:lineRule="auto"/>
              <w:jc w:val="center"/>
            </w:pPr>
            <w:r>
              <w:rPr>
                <w:sz w:val="21"/>
              </w:rPr>
              <w:t>300-1000 W/m²</w:t>
            </w:r>
          </w:p>
        </w:tc>
        <w:tc>
          <w:tcPr>
            <w:tcW w:w="3456" w:type="dxa"/>
            <w:vAlign w:val="center"/>
          </w:tcPr>
          <w:p w14:paraId="72C12FDD" w14:textId="77777777" w:rsidR="009B1E9E" w:rsidRDefault="002060DB" w:rsidP="009C4643">
            <w:pPr>
              <w:spacing w:after="0" w:line="240" w:lineRule="auto"/>
              <w:jc w:val="center"/>
            </w:pPr>
            <w:r>
              <w:rPr>
                <w:sz w:val="21"/>
              </w:rPr>
              <w:t>Internal sensible heat generation</w:t>
            </w:r>
          </w:p>
        </w:tc>
      </w:tr>
      <w:tr w:rsidR="009B1E9E" w14:paraId="3D2824D6" w14:textId="77777777" w:rsidTr="009C4643">
        <w:trPr>
          <w:jc w:val="center"/>
        </w:trPr>
        <w:tc>
          <w:tcPr>
            <w:tcW w:w="647" w:type="dxa"/>
            <w:vAlign w:val="center"/>
          </w:tcPr>
          <w:p w14:paraId="1DB839F5" w14:textId="77777777" w:rsidR="009B1E9E" w:rsidRDefault="002060DB" w:rsidP="009C4643">
            <w:pPr>
              <w:spacing w:after="0" w:line="240" w:lineRule="auto"/>
              <w:jc w:val="center"/>
            </w:pPr>
            <w:r>
              <w:rPr>
                <w:sz w:val="21"/>
              </w:rPr>
              <w:t>4</w:t>
            </w:r>
          </w:p>
        </w:tc>
        <w:tc>
          <w:tcPr>
            <w:tcW w:w="3024" w:type="dxa"/>
            <w:vAlign w:val="center"/>
          </w:tcPr>
          <w:p w14:paraId="3F941AFC" w14:textId="77777777" w:rsidR="009B1E9E" w:rsidRDefault="002060DB" w:rsidP="009C4643">
            <w:pPr>
              <w:spacing w:after="0" w:line="240" w:lineRule="auto"/>
              <w:jc w:val="center"/>
            </w:pPr>
            <w:r>
              <w:rPr>
                <w:sz w:val="21"/>
              </w:rPr>
              <w:t>Cooling-capacity ratio</w:t>
            </w:r>
          </w:p>
        </w:tc>
        <w:tc>
          <w:tcPr>
            <w:tcW w:w="2401" w:type="dxa"/>
            <w:vAlign w:val="center"/>
          </w:tcPr>
          <w:p w14:paraId="2FDC0B1E" w14:textId="77777777" w:rsidR="009B1E9E" w:rsidRDefault="002060DB" w:rsidP="009C4643">
            <w:pPr>
              <w:spacing w:after="0" w:line="240" w:lineRule="auto"/>
              <w:jc w:val="center"/>
            </w:pPr>
            <w:r>
              <w:rPr>
                <w:sz w:val="21"/>
              </w:rPr>
              <w:t>80-120%</w:t>
            </w:r>
          </w:p>
        </w:tc>
        <w:tc>
          <w:tcPr>
            <w:tcW w:w="3456" w:type="dxa"/>
            <w:vAlign w:val="center"/>
          </w:tcPr>
          <w:p w14:paraId="27A34203" w14:textId="77777777" w:rsidR="009B1E9E" w:rsidRDefault="002060DB" w:rsidP="009C4643">
            <w:pPr>
              <w:spacing w:after="0" w:line="240" w:lineRule="auto"/>
              <w:jc w:val="center"/>
            </w:pPr>
            <w:r>
              <w:rPr>
                <w:sz w:val="21"/>
              </w:rPr>
              <w:t>Available cooling relative to baseline</w:t>
            </w:r>
          </w:p>
        </w:tc>
      </w:tr>
      <w:tr w:rsidR="009B1E9E" w14:paraId="05BF7CEA" w14:textId="77777777" w:rsidTr="009C4643">
        <w:trPr>
          <w:jc w:val="center"/>
        </w:trPr>
        <w:tc>
          <w:tcPr>
            <w:tcW w:w="647" w:type="dxa"/>
            <w:tcBorders>
              <w:bottom w:val="single" w:sz="12" w:space="0" w:color="000000"/>
            </w:tcBorders>
            <w:vAlign w:val="center"/>
          </w:tcPr>
          <w:p w14:paraId="481A04FA" w14:textId="77777777" w:rsidR="009B1E9E" w:rsidRDefault="002060DB" w:rsidP="009C4643">
            <w:pPr>
              <w:spacing w:after="0" w:line="240" w:lineRule="auto"/>
              <w:jc w:val="center"/>
            </w:pPr>
            <w:r>
              <w:rPr>
                <w:sz w:val="21"/>
              </w:rPr>
              <w:t>5</w:t>
            </w:r>
          </w:p>
        </w:tc>
        <w:tc>
          <w:tcPr>
            <w:tcW w:w="3024" w:type="dxa"/>
            <w:tcBorders>
              <w:bottom w:val="single" w:sz="12" w:space="0" w:color="000000"/>
            </w:tcBorders>
            <w:vAlign w:val="center"/>
          </w:tcPr>
          <w:p w14:paraId="293DBF7E" w14:textId="77777777" w:rsidR="009B1E9E" w:rsidRDefault="002060DB" w:rsidP="009C4643">
            <w:pPr>
              <w:spacing w:after="0" w:line="240" w:lineRule="auto"/>
              <w:jc w:val="center"/>
            </w:pPr>
            <w:r>
              <w:rPr>
                <w:sz w:val="21"/>
              </w:rPr>
              <w:t>Cooling setpoint</w:t>
            </w:r>
          </w:p>
        </w:tc>
        <w:tc>
          <w:tcPr>
            <w:tcW w:w="2401" w:type="dxa"/>
            <w:tcBorders>
              <w:bottom w:val="single" w:sz="12" w:space="0" w:color="000000"/>
            </w:tcBorders>
            <w:vAlign w:val="center"/>
          </w:tcPr>
          <w:p w14:paraId="40E801FD" w14:textId="77777777" w:rsidR="009B1E9E" w:rsidRDefault="002060DB" w:rsidP="009C4643">
            <w:pPr>
              <w:spacing w:after="0" w:line="240" w:lineRule="auto"/>
              <w:jc w:val="center"/>
            </w:pPr>
            <w:r>
              <w:rPr>
                <w:sz w:val="21"/>
              </w:rPr>
              <w:t>20-27 °C</w:t>
            </w:r>
          </w:p>
        </w:tc>
        <w:tc>
          <w:tcPr>
            <w:tcW w:w="3456" w:type="dxa"/>
            <w:tcBorders>
              <w:bottom w:val="single" w:sz="12" w:space="0" w:color="000000"/>
            </w:tcBorders>
            <w:vAlign w:val="center"/>
          </w:tcPr>
          <w:p w14:paraId="1FA1301D" w14:textId="77777777" w:rsidR="009B1E9E" w:rsidRDefault="002060DB" w:rsidP="009C4643">
            <w:pPr>
              <w:spacing w:after="0" w:line="240" w:lineRule="auto"/>
              <w:jc w:val="center"/>
            </w:pPr>
            <w:r>
              <w:rPr>
                <w:sz w:val="21"/>
              </w:rPr>
              <w:t>Operational control variable</w:t>
            </w:r>
          </w:p>
        </w:tc>
      </w:tr>
    </w:tbl>
    <w:p w14:paraId="4336EBBE" w14:textId="77777777" w:rsidR="002060DB" w:rsidRDefault="002060DB">
      <w:pPr>
        <w:jc w:val="both"/>
      </w:pPr>
    </w:p>
    <w:p w14:paraId="784518EA" w14:textId="17FC402E" w:rsidR="009B1E9E" w:rsidRDefault="002060DB">
      <w:pPr>
        <w:jc w:val="both"/>
      </w:pPr>
      <w:r>
        <w:t xml:space="preserve">Latin Hypercube Sampling (LHS) is proposed to cover this five-dimensional parameter space more efficiently than a full-factorial design </w:t>
      </w:r>
      <w:r>
        <w:rPr>
          <w:vertAlign w:val="superscript"/>
        </w:rPr>
        <w:t>[3]</w:t>
      </w:r>
      <w:r>
        <w:t xml:space="preserve">. An initial pilot set will be used to test the simulation workflow and parameter ranges before the dataset is expanded. Simulation outputs will include </w:t>
      </w:r>
      <w:r>
        <w:lastRenderedPageBreak/>
        <w:t>peak cooling demand, HVAC electricity use, maximum zone temperature, unmet cooling hours, and cooling-capacity margin.</w:t>
      </w:r>
    </w:p>
    <w:p w14:paraId="0DD9C218" w14:textId="77777777" w:rsidR="009B1E9E" w:rsidRDefault="002060DB">
      <w:pPr>
        <w:keepNext/>
      </w:pPr>
      <w:r>
        <w:rPr>
          <w:b/>
        </w:rPr>
        <w:t>3.3 Machine Learning and Resilience Assessment</w:t>
      </w:r>
    </w:p>
    <w:p w14:paraId="75F7DA92" w14:textId="77777777" w:rsidR="009B1E9E" w:rsidRDefault="002060DB">
      <w:pPr>
        <w:jc w:val="both"/>
      </w:pPr>
      <w:r>
        <w:t xml:space="preserve">Linear Regression will provide a transparent baseline, while Random Forest and XGBoost will be evaluated as nonlinear surrogates. Predictive performance will be assessed using R², RMSE, and MAE on held-out simulation cases. After a suitable surrogate is identified, SHAP will be used to interpret model predictions and examine the relative influence of heatwave intensity, duration, IT load, cooling capacity, and cooling setpoint </w:t>
      </w:r>
      <w:r>
        <w:rPr>
          <w:vertAlign w:val="superscript"/>
        </w:rPr>
        <w:t>[4]</w:t>
      </w:r>
      <w:r>
        <w:t>.</w:t>
      </w:r>
    </w:p>
    <w:p w14:paraId="40891AA9" w14:textId="77777777" w:rsidR="009B1E9E" w:rsidRDefault="002060DB">
      <w:pPr>
        <w:jc w:val="both"/>
      </w:pPr>
      <w:r>
        <w:t>Cooling-capacity margin will be calculated as CM = (Q</w:t>
      </w:r>
      <w:r w:rsidRPr="00F136BC">
        <w:rPr>
          <w:vertAlign w:val="subscript"/>
        </w:rPr>
        <w:t>capacity</w:t>
      </w:r>
      <w:r>
        <w:t xml:space="preserve"> - Q</w:t>
      </w:r>
      <w:r w:rsidRPr="00F136BC">
        <w:rPr>
          <w:vertAlign w:val="subscript"/>
        </w:rPr>
        <w:t>demand</w:t>
      </w:r>
      <w:r>
        <w:t>) / Q</w:t>
      </w:r>
      <w:r w:rsidRPr="00F136BC">
        <w:rPr>
          <w:vertAlign w:val="subscript"/>
        </w:rPr>
        <w:t>capacity</w:t>
      </w:r>
      <w:r>
        <w:t>. Cases will be labelled safe, warning, or failure using capacity margin, unmet cooling demand, and thermal conditions. Exact thresholds will be fixed after baseline verification and review of applicable data-center thermal guidance. The validated surrogate will then be used to map the safe-to-failure resilience boundary.</w:t>
      </w:r>
    </w:p>
    <w:p w14:paraId="66D0968A" w14:textId="77777777" w:rsidR="009B1E9E" w:rsidRDefault="002060DB">
      <w:pPr>
        <w:keepNext/>
      </w:pPr>
      <w:r>
        <w:rPr>
          <w:b/>
        </w:rPr>
        <w:t>4. Planned Exploratory Data Analysis and Interim Status</w:t>
      </w:r>
    </w:p>
    <w:p w14:paraId="6B2C2178" w14:textId="77777777" w:rsidR="009B1E9E" w:rsidRDefault="002060DB">
      <w:pPr>
        <w:jc w:val="both"/>
      </w:pPr>
      <w:r>
        <w:t>The interim work has defined the modelling scale, principal variables, response metrics, candidate machine-learning methods, and resilience logic. The next step is to complete and verify the baseline DesignBuilder model, followed by a small pilot simulation batch.</w:t>
      </w:r>
    </w:p>
    <w:p w14:paraId="170CE3AB" w14:textId="77777777" w:rsidR="009B1E9E" w:rsidRDefault="002060DB">
      <w:pPr>
        <w:jc w:val="both"/>
      </w:pPr>
      <w:r>
        <w:t>Planned EDA includes input-variable distributions, scatter plots against peak cooling demand and maximum zone temperature, correlation analysis, and a preliminary safe/warning/failure map. These checks will identify unrealistic cases, assess sampling coverage, and guide additional sampling near the emerging resilience boundary.</w:t>
      </w:r>
    </w:p>
    <w:p w14:paraId="6486E053" w14:textId="77777777" w:rsidR="009B1E9E" w:rsidRDefault="002060DB">
      <w:pPr>
        <w:keepNext/>
      </w:pPr>
      <w:r>
        <w:rPr>
          <w:b/>
        </w:rPr>
        <w:t>5. References</w:t>
      </w:r>
    </w:p>
    <w:p w14:paraId="2558BBC0" w14:textId="77777777" w:rsidR="009B1E9E" w:rsidRDefault="002060DB">
      <w:pPr>
        <w:spacing w:after="60"/>
        <w:jc w:val="both"/>
      </w:pPr>
      <w:r>
        <w:rPr>
          <w:sz w:val="20"/>
        </w:rPr>
        <w:t>[1] ASHRAE. (2021). Thermal Guidelines for Data Processing Environments, 5th ed. ASHRAE Technical Committee 9.9, Atlanta, GA.</w:t>
      </w:r>
    </w:p>
    <w:p w14:paraId="5827884B" w14:textId="77777777" w:rsidR="009B1E9E" w:rsidRDefault="002060DB">
      <w:pPr>
        <w:spacing w:after="60"/>
        <w:jc w:val="both"/>
      </w:pPr>
      <w:r>
        <w:rPr>
          <w:sz w:val="20"/>
        </w:rPr>
        <w:t>[2] Crawley, D.B., Lawrie, L.K., Winkelmann, F.C., Buhl, W.F., Huang, Y.J., Pedersen, C.O., Strand, R.K., Liesen, R.J., Fisher, D.E., Witte, M.J. and Glazer, J. (2001). EnergyPlus: creating a new-generation building energy simulation program. Energy and Buildings, 33(4), 319-331.</w:t>
      </w:r>
    </w:p>
    <w:p w14:paraId="7FA49363" w14:textId="77777777" w:rsidR="009B1E9E" w:rsidRDefault="002060DB">
      <w:pPr>
        <w:spacing w:after="60"/>
        <w:jc w:val="both"/>
      </w:pPr>
      <w:r>
        <w:rPr>
          <w:sz w:val="20"/>
        </w:rPr>
        <w:t>[3] McKay, M.D., Beckman, R.J. and Conover, W.J. (1979). A comparison of three methods for selecting values of input variables in the analysis of output from a computer code. Technometrics, 21(2), 239-245.</w:t>
      </w:r>
    </w:p>
    <w:p w14:paraId="67B73D9D" w14:textId="77777777" w:rsidR="009B1E9E" w:rsidRDefault="002060DB">
      <w:pPr>
        <w:spacing w:after="60"/>
        <w:jc w:val="both"/>
      </w:pPr>
      <w:r>
        <w:rPr>
          <w:sz w:val="20"/>
        </w:rPr>
        <w:t>[4] Lundberg, S.M. and Lee, S.-I. (2017). A unified approach to interpreting model predictions. Advances in Neural Information Processing Systems, 30.</w:t>
      </w:r>
    </w:p>
    <w:sectPr w:rsidR="009B1E9E" w:rsidSect="00034616">
      <w:pgSz w:w="11909" w:h="16834"/>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60DB"/>
    <w:rsid w:val="0029639D"/>
    <w:rsid w:val="00326F90"/>
    <w:rsid w:val="00934471"/>
    <w:rsid w:val="009B1E9E"/>
    <w:rsid w:val="009C4643"/>
    <w:rsid w:val="00AA1D8D"/>
    <w:rsid w:val="00B47730"/>
    <w:rsid w:val="00CB0664"/>
    <w:rsid w:val="00F136B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9AADDA"/>
  <w14:defaultImageDpi w14:val="300"/>
  <w15:docId w15:val="{3865136D-1FE3-4276-B8CA-6B5F880461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360" w:lineRule="auto"/>
    </w:pPr>
    <w:rPr>
      <w:rFonts w:ascii="Times New Roman" w:eastAsia="Times New Roman" w:hAnsi="Times New Roman"/>
      <w:sz w:val="24"/>
    </w:rPr>
  </w:style>
  <w:style w:type="paragraph" w:styleId="1">
    <w:name w:val="heading 1"/>
    <w:basedOn w:val="a1"/>
    <w:next w:val="a1"/>
    <w:link w:val="10"/>
    <w:uiPriority w:val="9"/>
    <w:qFormat/>
    <w:rsid w:val="00FC693F"/>
    <w:pPr>
      <w:keepNext/>
      <w:keepLines/>
      <w:outlineLvl w:val="0"/>
    </w:pPr>
    <w:rPr>
      <w:rFonts w:asciiTheme="majorHAnsi" w:eastAsiaTheme="majorEastAsia" w:hAnsiTheme="majorHAnsi" w:cstheme="majorBidi"/>
      <w:b/>
      <w:bCs/>
      <w:color w:val="365F91" w:themeColor="accent1" w:themeShade="BF"/>
      <w:szCs w:val="28"/>
    </w:rPr>
  </w:style>
  <w:style w:type="paragraph" w:styleId="21">
    <w:name w:val="heading 2"/>
    <w:basedOn w:val="a1"/>
    <w:next w:val="a1"/>
    <w:link w:val="22"/>
    <w:uiPriority w:val="9"/>
    <w:unhideWhenUsed/>
    <w:qFormat/>
    <w:rsid w:val="00FC693F"/>
    <w:pPr>
      <w:keepNext/>
      <w:keepLines/>
      <w:outlineLvl w:val="1"/>
    </w:pPr>
    <w:rPr>
      <w:rFonts w:asciiTheme="majorHAnsi" w:eastAsiaTheme="majorEastAsia" w:hAnsiTheme="majorHAnsi" w:cstheme="majorBidi"/>
      <w:b/>
      <w:bCs/>
      <w:color w:val="4F81BD" w:themeColor="accent1"/>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3</Pages>
  <Words>1101</Words>
  <Characters>6276</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柏松 杨</cp:lastModifiedBy>
  <cp:revision>5</cp:revision>
  <dcterms:created xsi:type="dcterms:W3CDTF">2013-12-23T23:15:00Z</dcterms:created>
  <dcterms:modified xsi:type="dcterms:W3CDTF">2026-09-30T08:56:00Z</dcterms:modified>
  <cp:category/>
</cp:coreProperties>
</file>