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ZOMUJO FOUNDATION</w:t>
      </w:r>
    </w:p>
    <w:p>
      <w:pPr>
        <w:spacing w:after="100"/>
        <w:jc w:val="center"/>
      </w:pPr>
      <w:r>
        <w:rPr>
          <w:rFonts w:ascii="Arial" w:cs="Arial" w:eastAsia="Arial" w:hAnsi="Arial"/>
          <w:color w:val="555555"/>
          <w:sz w:val="28"/>
          <w:szCs w:val="28"/>
        </w:rPr>
        <w:t xml:space="preserve">Website Content Document</w:t>
      </w:r>
    </w:p>
    <w:p>
      <w:pPr>
        <w:spacing w:after="200"/>
        <w:jc w:val="center"/>
      </w:pPr>
      <w:r>
        <w:rPr>
          <w:rFonts w:ascii="Georgia" w:cs="Georgia" w:eastAsia="Georgia" w:hAnsi="Georgia"/>
          <w:i/>
          <w:iCs/>
          <w:color w:val="2E86C1"/>
          <w:sz w:val="24"/>
          <w:szCs w:val="24"/>
        </w:rPr>
        <w:t xml:space="preserve">Building technology enabled, community driven systems</w:t>
      </w:r>
    </w:p>
    <w:p>
      <w:pPr>
        <w:spacing w:after="600"/>
        <w:jc w:val="center"/>
      </w:pPr>
      <w:r>
        <w:rPr>
          <w:rFonts w:ascii="Georgia" w:cs="Georgia" w:eastAsia="Georgia" w:hAnsi="Georgia"/>
          <w:i/>
          <w:iCs/>
          <w:color w:val="2E86C1"/>
          <w:sz w:val="24"/>
          <w:szCs w:val="24"/>
        </w:rPr>
        <w:t xml:space="preserve">that strengthen how people live, learn, earn, and adapt.</w:t>
      </w:r>
    </w:p>
    <w:p>
      <w:pPr>
        <w:jc w:val="center"/>
      </w:pPr>
      <w:r>
        <w:rPr>
          <w:rFonts w:ascii="Arial" w:cs="Arial" w:eastAsia="Arial" w:hAnsi="Arial"/>
          <w:color w:val="555555"/>
          <w:sz w:val="20"/>
          <w:szCs w:val="20"/>
        </w:rPr>
        <w:t xml:space="preserve">April 2026  |  Confidential Draft</w:t>
      </w:r>
    </w:p>
    <w:p>
      <w:r>
        <w:br w:type="page"/>
      </w:r>
    </w:p>
    <w:p>
      <w:pPr>
        <w:spacing w:after="400"/>
      </w:pPr>
      <w:r>
        <w:rPr>
          <w:rFonts w:ascii="Arial" w:cs="Arial" w:eastAsia="Arial" w:hAnsi="Arial"/>
          <w:b/>
          <w:bCs/>
          <w:color w:val="1B4F72"/>
          <w:sz w:val="32"/>
          <w:szCs w:val="32"/>
        </w:rPr>
        <w:t xml:space="preserve">CONTENTS</w:t>
      </w:r>
    </w:p>
    <w:p>
      <w:pPr>
        <w:spacing w:after="140"/>
      </w:pPr>
      <w:r>
        <w:rPr>
          <w:rFonts w:ascii="Arial" w:cs="Arial" w:eastAsia="Arial" w:hAnsi="Arial"/>
          <w:color w:val="1C1C1C"/>
          <w:sz w:val="22"/>
          <w:szCs w:val="22"/>
        </w:rPr>
        <w:t xml:space="preserve">1. Homepage</w:t>
      </w:r>
    </w:p>
    <w:p>
      <w:pPr>
        <w:spacing w:after="140"/>
      </w:pPr>
      <w:r>
        <w:rPr>
          <w:rFonts w:ascii="Arial" w:cs="Arial" w:eastAsia="Arial" w:hAnsi="Arial"/>
          <w:color w:val="1C1C1C"/>
          <w:sz w:val="22"/>
          <w:szCs w:val="22"/>
        </w:rPr>
        <w:t xml:space="preserve">2. About Us</w:t>
      </w:r>
    </w:p>
    <w:p>
      <w:pPr>
        <w:spacing w:after="140"/>
      </w:pPr>
      <w:r>
        <w:rPr>
          <w:rFonts w:ascii="Arial" w:cs="Arial" w:eastAsia="Arial" w:hAnsi="Arial"/>
          <w:color w:val="1C1C1C"/>
          <w:sz w:val="22"/>
          <w:szCs w:val="22"/>
        </w:rPr>
        <w:t xml:space="preserve">3. Health and Wellbeing Systems</w:t>
      </w:r>
    </w:p>
    <w:p>
      <w:pPr>
        <w:spacing w:after="140"/>
      </w:pPr>
      <w:r>
        <w:rPr>
          <w:rFonts w:ascii="Arial" w:cs="Arial" w:eastAsia="Arial" w:hAnsi="Arial"/>
          <w:color w:val="1C1C1C"/>
          <w:sz w:val="22"/>
          <w:szCs w:val="22"/>
        </w:rPr>
        <w:t xml:space="preserve">4. Education, Skills and Youth Development</w:t>
      </w:r>
    </w:p>
    <w:p>
      <w:pPr>
        <w:spacing w:after="140"/>
      </w:pPr>
      <w:r>
        <w:rPr>
          <w:rFonts w:ascii="Arial" w:cs="Arial" w:eastAsia="Arial" w:hAnsi="Arial"/>
          <w:color w:val="1C1C1C"/>
          <w:sz w:val="22"/>
          <w:szCs w:val="22"/>
        </w:rPr>
        <w:t xml:space="preserve">5. Digital Innovation and Access</w:t>
      </w:r>
    </w:p>
    <w:p>
      <w:pPr>
        <w:spacing w:after="140"/>
      </w:pPr>
      <w:r>
        <w:rPr>
          <w:rFonts w:ascii="Arial" w:cs="Arial" w:eastAsia="Arial" w:hAnsi="Arial"/>
          <w:color w:val="1C1C1C"/>
          <w:sz w:val="22"/>
          <w:szCs w:val="22"/>
        </w:rPr>
        <w:t xml:space="preserve">6. Community Systems and Social Protection</w:t>
      </w:r>
    </w:p>
    <w:p>
      <w:pPr>
        <w:spacing w:after="140"/>
      </w:pPr>
      <w:r>
        <w:rPr>
          <w:rFonts w:ascii="Arial" w:cs="Arial" w:eastAsia="Arial" w:hAnsi="Arial"/>
          <w:color w:val="1C1C1C"/>
          <w:sz w:val="22"/>
          <w:szCs w:val="22"/>
        </w:rPr>
        <w:t xml:space="preserve">7. Economic Empowerment and Livelihoods</w:t>
      </w:r>
    </w:p>
    <w:p>
      <w:pPr>
        <w:spacing w:after="140"/>
      </w:pPr>
      <w:r>
        <w:rPr>
          <w:rFonts w:ascii="Arial" w:cs="Arial" w:eastAsia="Arial" w:hAnsi="Arial"/>
          <w:color w:val="1C1C1C"/>
          <w:sz w:val="22"/>
          <w:szCs w:val="22"/>
        </w:rPr>
        <w:t xml:space="preserve">8. Climate, Environment and Resilience</w:t>
      </w:r>
    </w:p>
    <w:p>
      <w:pPr>
        <w:spacing w:after="140"/>
      </w:pPr>
      <w:r>
        <w:rPr>
          <w:rFonts w:ascii="Arial" w:cs="Arial" w:eastAsia="Arial" w:hAnsi="Arial"/>
          <w:color w:val="1C1C1C"/>
          <w:sz w:val="22"/>
          <w:szCs w:val="22"/>
        </w:rPr>
        <w:t xml:space="preserve">9. Research, Data and Policy Influence</w:t>
      </w:r>
    </w:p>
    <w:p>
      <w:pPr>
        <w:spacing w:after="140"/>
      </w:pPr>
      <w:r>
        <w:rPr>
          <w:rFonts w:ascii="Arial" w:cs="Arial" w:eastAsia="Arial" w:hAnsi="Arial"/>
          <w:color w:val="1C1C1C"/>
          <w:sz w:val="22"/>
          <w:szCs w:val="22"/>
        </w:rPr>
        <w:t xml:space="preserve">10. Partner With Us</w:t>
      </w:r>
    </w:p>
    <w:p>
      <w:pPr>
        <w:spacing w:after="140"/>
      </w:pPr>
      <w:r>
        <w:rPr>
          <w:rFonts w:ascii="Arial" w:cs="Arial" w:eastAsia="Arial" w:hAnsi="Arial"/>
          <w:color w:val="1C1C1C"/>
          <w:sz w:val="22"/>
          <w:szCs w:val="22"/>
        </w:rPr>
        <w:t xml:space="preserve">11. Contact</w:t>
      </w:r>
    </w:p>
    <w:p>
      <w:r>
        <w:br w:type="page"/>
      </w:r>
    </w:p>
    <w:p>
      <w:pPr>
        <w:spacing w:after="60" w:before="100"/>
      </w:pPr>
      <w:r>
        <w:rPr>
          <w:rFonts w:ascii="Arial" w:cs="Arial" w:eastAsia="Arial" w:hAnsi="Arial"/>
          <w:b/>
          <w:bCs/>
          <w:color w:val="2E86C1"/>
          <w:spacing w:val="80"/>
          <w:sz w:val="18"/>
          <w:szCs w:val="18"/>
        </w:rPr>
        <w:t xml:space="preserve">PAGE 1</w:t>
      </w:r>
    </w:p>
    <w:p>
      <w:pPr>
        <w:spacing w:after="200" w:before="480"/>
      </w:pPr>
      <w:r>
        <w:rPr>
          <w:rFonts w:ascii="Arial" w:cs="Arial" w:eastAsia="Arial" w:hAnsi="Arial"/>
          <w:b/>
          <w:bCs/>
          <w:color w:val="1B4F72"/>
          <w:sz w:val="36"/>
          <w:szCs w:val="36"/>
        </w:rPr>
        <w:t xml:space="preserve">Homepage</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Hero Section</w:t>
      </w:r>
    </w:p>
    <w:p>
      <w:pPr>
        <w:spacing w:after="200" w:line="320"/>
      </w:pPr>
      <w:r>
        <w:rPr>
          <w:rFonts w:ascii="Georgia" w:cs="Georgia" w:eastAsia="Georgia" w:hAnsi="Georgia"/>
          <w:b/>
          <w:bCs/>
          <w:color w:val="1C1C1C"/>
          <w:sz w:val="22"/>
          <w:szCs w:val="22"/>
        </w:rPr>
        <w:t xml:space="preserve">Headline: </w:t>
      </w:r>
      <w:r>
        <w:rPr>
          <w:rFonts w:ascii="Georgia" w:cs="Georgia" w:eastAsia="Georgia" w:hAnsi="Georgia"/>
          <w:color w:val="1C1C1C"/>
          <w:sz w:val="22"/>
          <w:szCs w:val="22"/>
        </w:rPr>
        <w:t xml:space="preserve">Technology. Community. Impact.</w:t>
      </w:r>
    </w:p>
    <w:p>
      <w:pPr>
        <w:spacing w:after="200" w:line="320"/>
      </w:pPr>
      <w:r>
        <w:rPr>
          <w:rFonts w:ascii="Georgia" w:cs="Georgia" w:eastAsia="Georgia" w:hAnsi="Georgia"/>
          <w:b/>
          <w:bCs/>
          <w:color w:val="1C1C1C"/>
          <w:sz w:val="22"/>
          <w:szCs w:val="22"/>
        </w:rPr>
        <w:t xml:space="preserve">Subheadline: </w:t>
      </w:r>
      <w:r>
        <w:rPr>
          <w:rFonts w:ascii="Georgia" w:cs="Georgia" w:eastAsia="Georgia" w:hAnsi="Georgia"/>
          <w:color w:val="1C1C1C"/>
          <w:sz w:val="22"/>
          <w:szCs w:val="22"/>
        </w:rPr>
        <w:t xml:space="preserve">Zomujo Foundation builds the systems that connect people to better health, education, livelihoods, and resilience. Powered by technology. Rooted in community.</w:t>
      </w:r>
    </w:p>
    <w:p>
      <w:pPr>
        <w:spacing w:after="200" w:line="320"/>
      </w:pPr>
      <w:r>
        <w:rPr>
          <w:rFonts w:ascii="Georgia" w:cs="Georgia" w:eastAsia="Georgia" w:hAnsi="Georgia"/>
          <w:b/>
          <w:bCs/>
          <w:color w:val="1C1C1C"/>
          <w:sz w:val="22"/>
          <w:szCs w:val="22"/>
        </w:rPr>
        <w:t xml:space="preserve">CTA Buttons: </w:t>
      </w:r>
      <w:r>
        <w:rPr>
          <w:rFonts w:ascii="Georgia" w:cs="Georgia" w:eastAsia="Georgia" w:hAnsi="Georgia"/>
          <w:color w:val="1C1C1C"/>
          <w:sz w:val="22"/>
          <w:szCs w:val="22"/>
        </w:rPr>
        <w:t xml:space="preserve">[Explore Our Work]   [Partner With Us]</w:t>
      </w:r>
    </w:p>
    <w:p>
      <w:pPr>
        <w:spacing w:after="200" w:line="320"/>
      </w:pPr>
      <w:r>
        <w:rPr>
          <w:rFonts w:ascii="Georgia" w:cs="Georgia" w:eastAsia="Georgia" w:hAnsi="Georgia"/>
          <w:color w:val="1C1C1C"/>
          <w:sz w:val="22"/>
          <w:szCs w:val="22"/>
        </w:rPr>
        <w:t xml:space="preserve">Visual direction: Full width image or video of community engagement. Health screening in a market, digital training workshop, or community gathering. Authentic photography, not stock. Ghana and Africa context.</w:t>
      </w:r>
    </w:p>
    <w:p>
      <w:pPr>
        <w:spacing w:after="160" w:before="360"/>
      </w:pPr>
      <w:r>
        <w:rPr>
          <w:rFonts w:ascii="Arial" w:cs="Arial" w:eastAsia="Arial" w:hAnsi="Arial"/>
          <w:b/>
          <w:bCs/>
          <w:color w:val="1B4F72"/>
          <w:sz w:val="28"/>
          <w:szCs w:val="28"/>
        </w:rPr>
        <w:t xml:space="preserve">Mission Statement Bar</w:t>
      </w:r>
    </w:p>
    <w:p>
      <w:pPr>
        <w:spacing w:after="200" w:line="320"/>
      </w:pPr>
      <w:r>
        <w:rPr>
          <w:rFonts w:ascii="Georgia" w:cs="Georgia" w:eastAsia="Georgia" w:hAnsi="Georgia"/>
          <w:color w:val="1C1C1C"/>
          <w:sz w:val="22"/>
          <w:szCs w:val="22"/>
        </w:rPr>
        <w:t xml:space="preserve">We design and deploy technology enabled, community driven systems that strengthen how people live, learn, earn, and adapt across Africa and beyond.</w:t>
      </w:r>
    </w:p>
    <w:p>
      <w:pPr>
        <w:spacing w:after="160" w:before="360"/>
      </w:pPr>
      <w:r>
        <w:rPr>
          <w:rFonts w:ascii="Arial" w:cs="Arial" w:eastAsia="Arial" w:hAnsi="Arial"/>
          <w:b/>
          <w:bCs/>
          <w:color w:val="1B4F72"/>
          <w:sz w:val="28"/>
          <w:szCs w:val="28"/>
        </w:rPr>
        <w:t xml:space="preserve">Our Focus Areas</w:t>
      </w:r>
    </w:p>
    <w:p>
      <w:pPr>
        <w:spacing w:after="200" w:line="320"/>
      </w:pPr>
      <w:r>
        <w:rPr>
          <w:rFonts w:ascii="Georgia" w:cs="Georgia" w:eastAsia="Georgia" w:hAnsi="Georgia"/>
          <w:color w:val="1C1C1C"/>
          <w:sz w:val="22"/>
          <w:szCs w:val="22"/>
        </w:rPr>
        <w:t xml:space="preserve">A visual grid of seven cards, each with an icon, the pillar name, a single line descriptor, and a link to the full page. Cards should be clean and uniform.</w:t>
      </w:r>
    </w:p>
    <w:p>
      <w:pPr>
        <w:spacing w:after="200" w:line="320"/>
      </w:pPr>
      <w:r>
        <w:rPr>
          <w:rFonts w:ascii="Georgia" w:cs="Georgia" w:eastAsia="Georgia" w:hAnsi="Georgia"/>
          <w:color w:val="1C1C1C"/>
          <w:sz w:val="22"/>
          <w:szCs w:val="22"/>
        </w:rPr>
        <w:t xml:space="preserve"/>
      </w:r>
    </w:p>
    <w:p>
      <w:pPr>
        <w:spacing w:after="200" w:line="320"/>
      </w:pPr>
      <w:r>
        <w:rPr>
          <w:rFonts w:ascii="Georgia" w:cs="Georgia" w:eastAsia="Georgia" w:hAnsi="Georgia"/>
          <w:b/>
          <w:bCs/>
          <w:color w:val="1C1C1C"/>
          <w:sz w:val="22"/>
          <w:szCs w:val="22"/>
        </w:rPr>
        <w:t xml:space="preserve">1. Health and Wellbeing Systems: </w:t>
      </w:r>
      <w:r>
        <w:rPr>
          <w:rFonts w:ascii="Georgia" w:cs="Georgia" w:eastAsia="Georgia" w:hAnsi="Georgia"/>
          <w:color w:val="1C1C1C"/>
          <w:sz w:val="22"/>
          <w:szCs w:val="22"/>
        </w:rPr>
        <w:t xml:space="preserve">Building the infrastructure for preventive, accessible, and data driven health systems that reach everyone.</w:t>
      </w:r>
    </w:p>
    <w:p>
      <w:pPr>
        <w:spacing w:after="200" w:line="320"/>
      </w:pPr>
      <w:r>
        <w:rPr>
          <w:rFonts w:ascii="Georgia" w:cs="Georgia" w:eastAsia="Georgia" w:hAnsi="Georgia"/>
          <w:b/>
          <w:bCs/>
          <w:color w:val="1C1C1C"/>
          <w:sz w:val="22"/>
          <w:szCs w:val="22"/>
        </w:rPr>
        <w:t xml:space="preserve">2. Education, Skills and Youth Development: </w:t>
      </w:r>
      <w:r>
        <w:rPr>
          <w:rFonts w:ascii="Georgia" w:cs="Georgia" w:eastAsia="Georgia" w:hAnsi="Georgia"/>
          <w:color w:val="1C1C1C"/>
          <w:sz w:val="22"/>
          <w:szCs w:val="22"/>
        </w:rPr>
        <w:t xml:space="preserve">Equipping young people and communities with the knowledge, skills, and pathways to thrive in a changing world.</w:t>
      </w:r>
    </w:p>
    <w:p>
      <w:pPr>
        <w:spacing w:after="200" w:line="320"/>
      </w:pPr>
      <w:r>
        <w:rPr>
          <w:rFonts w:ascii="Georgia" w:cs="Georgia" w:eastAsia="Georgia" w:hAnsi="Georgia"/>
          <w:b/>
          <w:bCs/>
          <w:color w:val="1C1C1C"/>
          <w:sz w:val="22"/>
          <w:szCs w:val="22"/>
        </w:rPr>
        <w:t xml:space="preserve">3. Digital Innovation and Access: </w:t>
      </w:r>
      <w:r>
        <w:rPr>
          <w:rFonts w:ascii="Georgia" w:cs="Georgia" w:eastAsia="Georgia" w:hAnsi="Georgia"/>
          <w:color w:val="1C1C1C"/>
          <w:sz w:val="22"/>
          <w:szCs w:val="22"/>
        </w:rPr>
        <w:t xml:space="preserve">Closing the digital divide by building tools, platforms, and connectivity that work for underserved populations.</w:t>
      </w:r>
    </w:p>
    <w:p>
      <w:pPr>
        <w:spacing w:after="200" w:line="320"/>
      </w:pPr>
      <w:r>
        <w:rPr>
          <w:rFonts w:ascii="Georgia" w:cs="Georgia" w:eastAsia="Georgia" w:hAnsi="Georgia"/>
          <w:b/>
          <w:bCs/>
          <w:color w:val="1C1C1C"/>
          <w:sz w:val="22"/>
          <w:szCs w:val="22"/>
        </w:rPr>
        <w:t xml:space="preserve">4. Community Systems and Social Protection: </w:t>
      </w:r>
      <w:r>
        <w:rPr>
          <w:rFonts w:ascii="Georgia" w:cs="Georgia" w:eastAsia="Georgia" w:hAnsi="Georgia"/>
          <w:color w:val="1C1C1C"/>
          <w:sz w:val="22"/>
          <w:szCs w:val="22"/>
        </w:rPr>
        <w:t xml:space="preserve">Strengthening the networks, institutions, and safety nets that hold communities together.</w:t>
      </w:r>
    </w:p>
    <w:p>
      <w:pPr>
        <w:spacing w:after="200" w:line="320"/>
      </w:pPr>
      <w:r>
        <w:rPr>
          <w:rFonts w:ascii="Georgia" w:cs="Georgia" w:eastAsia="Georgia" w:hAnsi="Georgia"/>
          <w:b/>
          <w:bCs/>
          <w:color w:val="1C1C1C"/>
          <w:sz w:val="22"/>
          <w:szCs w:val="22"/>
        </w:rPr>
        <w:t xml:space="preserve">5. Economic Empowerment and Livelihoods: </w:t>
      </w:r>
      <w:r>
        <w:rPr>
          <w:rFonts w:ascii="Georgia" w:cs="Georgia" w:eastAsia="Georgia" w:hAnsi="Georgia"/>
          <w:color w:val="1C1C1C"/>
          <w:sz w:val="22"/>
          <w:szCs w:val="22"/>
        </w:rPr>
        <w:t xml:space="preserve">Creating pathways to sustainable income, enterprise, and financial inclusion for individuals and communities.</w:t>
      </w:r>
    </w:p>
    <w:p>
      <w:pPr>
        <w:spacing w:after="200" w:line="320"/>
      </w:pPr>
      <w:r>
        <w:rPr>
          <w:rFonts w:ascii="Georgia" w:cs="Georgia" w:eastAsia="Georgia" w:hAnsi="Georgia"/>
          <w:b/>
          <w:bCs/>
          <w:color w:val="1C1C1C"/>
          <w:sz w:val="22"/>
          <w:szCs w:val="22"/>
        </w:rPr>
        <w:t xml:space="preserve">6. Climate, Environment and Resilience: </w:t>
      </w:r>
      <w:r>
        <w:rPr>
          <w:rFonts w:ascii="Georgia" w:cs="Georgia" w:eastAsia="Georgia" w:hAnsi="Georgia"/>
          <w:color w:val="1C1C1C"/>
          <w:sz w:val="22"/>
          <w:szCs w:val="22"/>
        </w:rPr>
        <w:t xml:space="preserve">Enabling communities to adapt, respond, and build lasting resilience in the face of environmental and climate challenges.</w:t>
      </w:r>
    </w:p>
    <w:p>
      <w:pPr>
        <w:spacing w:after="200" w:line="320"/>
      </w:pPr>
      <w:r>
        <w:rPr>
          <w:rFonts w:ascii="Georgia" w:cs="Georgia" w:eastAsia="Georgia" w:hAnsi="Georgia"/>
          <w:b/>
          <w:bCs/>
          <w:color w:val="1C1C1C"/>
          <w:sz w:val="22"/>
          <w:szCs w:val="22"/>
        </w:rPr>
        <w:t xml:space="preserve">7. Research, Data and Policy Influence: </w:t>
      </w:r>
      <w:r>
        <w:rPr>
          <w:rFonts w:ascii="Georgia" w:cs="Georgia" w:eastAsia="Georgia" w:hAnsi="Georgia"/>
          <w:color w:val="1C1C1C"/>
          <w:sz w:val="22"/>
          <w:szCs w:val="22"/>
        </w:rPr>
        <w:t xml:space="preserve">Generating evidence, shaping policy, and building the knowledge base for effective development practice.</w:t>
      </w:r>
    </w:p>
    <w:p>
      <w:pPr>
        <w:spacing w:after="160" w:before="360"/>
      </w:pPr>
      <w:r>
        <w:rPr>
          <w:rFonts w:ascii="Arial" w:cs="Arial" w:eastAsia="Arial" w:hAnsi="Arial"/>
          <w:b/>
          <w:bCs/>
          <w:color w:val="1B4F72"/>
          <w:sz w:val="28"/>
          <w:szCs w:val="28"/>
        </w:rPr>
        <w:t xml:space="preserve">Impact Snapshot</w:t>
      </w:r>
    </w:p>
    <w:p>
      <w:pPr>
        <w:spacing w:after="200" w:line="320"/>
      </w:pPr>
      <w:r>
        <w:rPr>
          <w:rFonts w:ascii="Georgia" w:cs="Georgia" w:eastAsia="Georgia" w:hAnsi="Georgia"/>
          <w:color w:val="1C1C1C"/>
          <w:sz w:val="22"/>
          <w:szCs w:val="22"/>
        </w:rPr>
        <w:t xml:space="preserve">A dynamic section with key metrics. These should update as the foundation grows. Placeholder examples:</w:t>
      </w:r>
    </w:p>
    <w:p>
      <w:pPr>
        <w:spacing w:after="200" w:line="320"/>
      </w:pPr>
      <w:r>
        <w:rPr>
          <w:rFonts w:ascii="Georgia" w:cs="Georgia" w:eastAsia="Georgia" w:hAnsi="Georgia"/>
          <w:b/>
          <w:bCs/>
          <w:color w:val="1C1C1C"/>
          <w:sz w:val="22"/>
          <w:szCs w:val="22"/>
        </w:rPr>
        <w:t xml:space="preserve">Communities Reached: </w:t>
      </w:r>
      <w:r>
        <w:rPr>
          <w:rFonts w:ascii="Georgia" w:cs="Georgia" w:eastAsia="Georgia" w:hAnsi="Georgia"/>
          <w:color w:val="1C1C1C"/>
          <w:sz w:val="22"/>
          <w:szCs w:val="22"/>
        </w:rPr>
        <w:t xml:space="preserve">[XX]</w:t>
      </w:r>
    </w:p>
    <w:p>
      <w:pPr>
        <w:spacing w:after="200" w:line="320"/>
      </w:pPr>
      <w:r>
        <w:rPr>
          <w:rFonts w:ascii="Georgia" w:cs="Georgia" w:eastAsia="Georgia" w:hAnsi="Georgia"/>
          <w:b/>
          <w:bCs/>
          <w:color w:val="1C1C1C"/>
          <w:sz w:val="22"/>
          <w:szCs w:val="22"/>
        </w:rPr>
        <w:t xml:space="preserve">Programmes Delivered: </w:t>
      </w:r>
      <w:r>
        <w:rPr>
          <w:rFonts w:ascii="Georgia" w:cs="Georgia" w:eastAsia="Georgia" w:hAnsi="Georgia"/>
          <w:color w:val="1C1C1C"/>
          <w:sz w:val="22"/>
          <w:szCs w:val="22"/>
        </w:rPr>
        <w:t xml:space="preserve">[XX]</w:t>
      </w:r>
    </w:p>
    <w:p>
      <w:pPr>
        <w:spacing w:after="200" w:line="320"/>
      </w:pPr>
      <w:r>
        <w:rPr>
          <w:rFonts w:ascii="Georgia" w:cs="Georgia" w:eastAsia="Georgia" w:hAnsi="Georgia"/>
          <w:b/>
          <w:bCs/>
          <w:color w:val="1C1C1C"/>
          <w:sz w:val="22"/>
          <w:szCs w:val="22"/>
        </w:rPr>
        <w:t xml:space="preserve">Partners and Collaborators: </w:t>
      </w:r>
      <w:r>
        <w:rPr>
          <w:rFonts w:ascii="Georgia" w:cs="Georgia" w:eastAsia="Georgia" w:hAnsi="Georgia"/>
          <w:color w:val="1C1C1C"/>
          <w:sz w:val="22"/>
          <w:szCs w:val="22"/>
        </w:rPr>
        <w:t xml:space="preserve">[XX]</w:t>
      </w:r>
    </w:p>
    <w:p>
      <w:pPr>
        <w:spacing w:after="200" w:line="320"/>
      </w:pPr>
      <w:r>
        <w:rPr>
          <w:rFonts w:ascii="Georgia" w:cs="Georgia" w:eastAsia="Georgia" w:hAnsi="Georgia"/>
          <w:b/>
          <w:bCs/>
          <w:color w:val="1C1C1C"/>
          <w:sz w:val="22"/>
          <w:szCs w:val="22"/>
        </w:rPr>
        <w:t xml:space="preserve">Countries of Operation: </w:t>
      </w:r>
      <w:r>
        <w:rPr>
          <w:rFonts w:ascii="Georgia" w:cs="Georgia" w:eastAsia="Georgia" w:hAnsi="Georgia"/>
          <w:color w:val="1C1C1C"/>
          <w:sz w:val="22"/>
          <w:szCs w:val="22"/>
        </w:rPr>
        <w:t xml:space="preserve">[XX]</w:t>
      </w:r>
    </w:p>
    <w:p>
      <w:pPr>
        <w:spacing w:after="160" w:before="360"/>
      </w:pPr>
      <w:r>
        <w:rPr>
          <w:rFonts w:ascii="Arial" w:cs="Arial" w:eastAsia="Arial" w:hAnsi="Arial"/>
          <w:b/>
          <w:bCs/>
          <w:color w:val="1B4F72"/>
          <w:sz w:val="28"/>
          <w:szCs w:val="28"/>
        </w:rPr>
        <w:t xml:space="preserve">Why Zomujo?</w:t>
      </w:r>
    </w:p>
    <w:p>
      <w:pPr>
        <w:spacing w:after="200" w:line="320"/>
      </w:pPr>
      <w:r>
        <w:rPr>
          <w:rFonts w:ascii="Georgia" w:cs="Georgia" w:eastAsia="Georgia" w:hAnsi="Georgia"/>
          <w:color w:val="1C1C1C"/>
          <w:sz w:val="22"/>
          <w:szCs w:val="22"/>
        </w:rPr>
        <w:t xml:space="preserve">Zomujo is a word from the Ga language of Ghana, meaning good health or wellbeing. The name reflects our founding commitment to the total wellbeing of individuals and communities. That commitment has grown from health into education, livelihoods, digital access, climate resilience, and evidence based policy.</w:t>
      </w:r>
    </w:p>
    <w:p>
      <w:pPr>
        <w:spacing w:after="200" w:line="320"/>
      </w:pPr>
      <w:r>
        <w:rPr>
          <w:rFonts w:ascii="Georgia" w:cs="Georgia" w:eastAsia="Georgia" w:hAnsi="Georgia"/>
          <w:color w:val="1C1C1C"/>
          <w:sz w:val="22"/>
          <w:szCs w:val="22"/>
        </w:rPr>
        <w:t xml:space="preserve">We are not a single issue organisation. We are a systems organisation. We build the connective tissue between technology and community that makes development outcomes durable, measurable, and sustainable.</w:t>
      </w:r>
    </w:p>
    <w:p>
      <w:pPr>
        <w:spacing w:after="160" w:before="360"/>
      </w:pPr>
      <w:r>
        <w:rPr>
          <w:rFonts w:ascii="Arial" w:cs="Arial" w:eastAsia="Arial" w:hAnsi="Arial"/>
          <w:b/>
          <w:bCs/>
          <w:color w:val="1B4F72"/>
          <w:sz w:val="28"/>
          <w:szCs w:val="28"/>
        </w:rPr>
        <w:t xml:space="preserve">Latest News and Updates</w:t>
      </w:r>
    </w:p>
    <w:p>
      <w:pPr>
        <w:spacing w:after="200" w:line="320"/>
      </w:pPr>
      <w:r>
        <w:rPr>
          <w:rFonts w:ascii="Georgia" w:cs="Georgia" w:eastAsia="Georgia" w:hAnsi="Georgia"/>
          <w:color w:val="1C1C1C"/>
          <w:sz w:val="22"/>
          <w:szCs w:val="22"/>
        </w:rPr>
        <w:t xml:space="preserve">[Blog or news feed section. Dynamically populated. Display three most recent posts with title, date, excerpt, and thumbnail.]</w:t>
      </w:r>
    </w:p>
    <w:p>
      <w:pPr>
        <w:spacing w:after="160" w:before="360"/>
      </w:pPr>
      <w:r>
        <w:rPr>
          <w:rFonts w:ascii="Arial" w:cs="Arial" w:eastAsia="Arial" w:hAnsi="Arial"/>
          <w:b/>
          <w:bCs/>
          <w:color w:val="1B4F72"/>
          <w:sz w:val="28"/>
          <w:szCs w:val="28"/>
        </w:rPr>
        <w:t xml:space="preserve">Partners and Supporters</w:t>
      </w:r>
    </w:p>
    <w:p>
      <w:pPr>
        <w:spacing w:after="200" w:line="320"/>
      </w:pPr>
      <w:r>
        <w:rPr>
          <w:rFonts w:ascii="Georgia" w:cs="Georgia" w:eastAsia="Georgia" w:hAnsi="Georgia"/>
          <w:color w:val="1C1C1C"/>
          <w:sz w:val="22"/>
          <w:szCs w:val="22"/>
        </w:rPr>
        <w:t xml:space="preserve">[Logo bar of institutional partners, funders, and collaborators. Clean, grayscale, horizontally scrolling or grid layout.]</w:t>
      </w:r>
    </w:p>
    <w:p>
      <w:pPr>
        <w:spacing w:after="160" w:before="360"/>
      </w:pPr>
      <w:r>
        <w:rPr>
          <w:rFonts w:ascii="Arial" w:cs="Arial" w:eastAsia="Arial" w:hAnsi="Arial"/>
          <w:b/>
          <w:bCs/>
          <w:color w:val="1B4F72"/>
          <w:sz w:val="28"/>
          <w:szCs w:val="28"/>
        </w:rPr>
        <w:t xml:space="preserve">Footer CTA</w:t>
      </w:r>
    </w:p>
    <w:p>
      <w:pPr>
        <w:spacing w:after="200" w:line="320"/>
      </w:pPr>
      <w:r>
        <w:rPr>
          <w:rFonts w:ascii="Georgia" w:cs="Georgia" w:eastAsia="Georgia" w:hAnsi="Georgia"/>
          <w:b/>
          <w:bCs/>
          <w:color w:val="1C1C1C"/>
          <w:sz w:val="22"/>
          <w:szCs w:val="22"/>
        </w:rPr>
        <w:t xml:space="preserve">Headline: </w:t>
      </w:r>
      <w:r>
        <w:rPr>
          <w:rFonts w:ascii="Georgia" w:cs="Georgia" w:eastAsia="Georgia" w:hAnsi="Georgia"/>
          <w:color w:val="1C1C1C"/>
          <w:sz w:val="22"/>
          <w:szCs w:val="22"/>
        </w:rPr>
        <w:t xml:space="preserve">Join Us</w:t>
      </w:r>
    </w:p>
    <w:p>
      <w:pPr>
        <w:spacing w:after="200" w:line="320"/>
      </w:pPr>
      <w:r>
        <w:rPr>
          <w:rFonts w:ascii="Georgia" w:cs="Georgia" w:eastAsia="Georgia" w:hAnsi="Georgia"/>
          <w:color w:val="1C1C1C"/>
          <w:sz w:val="22"/>
          <w:szCs w:val="22"/>
        </w:rPr>
        <w:t xml:space="preserve">Whether you are a funder, a government agency, a technology company, a researcher, or a community leader, there is a role for you in the work we do. Let us build something together.</w:t>
      </w:r>
    </w:p>
    <w:p>
      <w:pPr>
        <w:spacing w:after="200" w:line="320"/>
      </w:pPr>
      <w:r>
        <w:rPr>
          <w:rFonts w:ascii="Georgia" w:cs="Georgia" w:eastAsia="Georgia" w:hAnsi="Georgia"/>
          <w:b/>
          <w:bCs/>
          <w:color w:val="1C1C1C"/>
          <w:sz w:val="22"/>
          <w:szCs w:val="22"/>
        </w:rPr>
        <w:t xml:space="preserve">Buttons: </w:t>
      </w:r>
      <w:r>
        <w:rPr>
          <w:rFonts w:ascii="Georgia" w:cs="Georgia" w:eastAsia="Georgia" w:hAnsi="Georgia"/>
          <w:color w:val="1C1C1C"/>
          <w:sz w:val="22"/>
          <w:szCs w:val="22"/>
        </w:rPr>
        <w:t xml:space="preserve">[Partner With Us]   [Donate]   [Subscribe to Updates]</w:t>
      </w:r>
    </w:p>
    <w:p>
      <w:r>
        <w:br w:type="page"/>
      </w:r>
    </w:p>
    <w:p>
      <w:pPr>
        <w:spacing w:after="60" w:before="100"/>
      </w:pPr>
      <w:r>
        <w:rPr>
          <w:rFonts w:ascii="Arial" w:cs="Arial" w:eastAsia="Arial" w:hAnsi="Arial"/>
          <w:b/>
          <w:bCs/>
          <w:color w:val="2E86C1"/>
          <w:spacing w:val="80"/>
          <w:sz w:val="18"/>
          <w:szCs w:val="18"/>
        </w:rPr>
        <w:t xml:space="preserve">PAGE 2</w:t>
      </w:r>
    </w:p>
    <w:p>
      <w:pPr>
        <w:spacing w:after="200" w:before="480"/>
      </w:pPr>
      <w:r>
        <w:rPr>
          <w:rFonts w:ascii="Arial" w:cs="Arial" w:eastAsia="Arial" w:hAnsi="Arial"/>
          <w:b/>
          <w:bCs/>
          <w:color w:val="1B4F72"/>
          <w:sz w:val="36"/>
          <w:szCs w:val="36"/>
        </w:rPr>
        <w:t xml:space="preserve">About Us</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Who We Are</w:t>
      </w:r>
    </w:p>
    <w:p>
      <w:pPr>
        <w:spacing w:after="200" w:line="320"/>
      </w:pPr>
      <w:r>
        <w:rPr>
          <w:rFonts w:ascii="Georgia" w:cs="Georgia" w:eastAsia="Georgia" w:hAnsi="Georgia"/>
          <w:color w:val="1C1C1C"/>
          <w:sz w:val="22"/>
          <w:szCs w:val="22"/>
        </w:rPr>
        <w:t xml:space="preserve">Zomujo Foundation is a non profit organisation dedicated to designing and deploying technology enabled, community driven systems that improve lives across multiple sectors. Founded in Ghana, we work at the intersection of technology, community infrastructure, and sustainable development, building solutions that are locally rooted, evidence informed, and scalable across diverse contexts.</w:t>
      </w:r>
    </w:p>
    <w:p>
      <w:pPr>
        <w:spacing w:after="200" w:line="320"/>
      </w:pPr>
      <w:r>
        <w:rPr>
          <w:rFonts w:ascii="Georgia" w:cs="Georgia" w:eastAsia="Georgia" w:hAnsi="Georgia"/>
          <w:color w:val="1C1C1C"/>
          <w:sz w:val="22"/>
          <w:szCs w:val="22"/>
        </w:rPr>
        <w:t xml:space="preserve">We began with a focus on health systems strengthening, addressing the crisis of chronic disease management in communities underserved by existing health infrastructure. That work revealed a deeper truth: the systems challenges facing health, including fragmented data, disconnected communities, under resourced institutions, and limited access to technology, are the same challenges facing education, livelihoods, climate adaptation, and public service delivery.</w:t>
      </w:r>
    </w:p>
    <w:p>
      <w:pPr>
        <w:spacing w:after="200" w:line="320"/>
      </w:pPr>
      <w:r>
        <w:rPr>
          <w:rFonts w:ascii="Georgia" w:cs="Georgia" w:eastAsia="Georgia" w:hAnsi="Georgia"/>
          <w:color w:val="1C1C1C"/>
          <w:sz w:val="22"/>
          <w:szCs w:val="22"/>
        </w:rPr>
        <w:t xml:space="preserve">Zomujo exists to build the connective tissue. We design the platforms, train the people, generate the evidence, and forge the partnerships that turn fragmented efforts into functioning systems.</w:t>
      </w:r>
    </w:p>
    <w:p>
      <w:pPr>
        <w:spacing w:after="160" w:before="360"/>
      </w:pPr>
      <w:r>
        <w:rPr>
          <w:rFonts w:ascii="Arial" w:cs="Arial" w:eastAsia="Arial" w:hAnsi="Arial"/>
          <w:b/>
          <w:bCs/>
          <w:color w:val="1B4F72"/>
          <w:sz w:val="28"/>
          <w:szCs w:val="28"/>
        </w:rPr>
        <w:t xml:space="preserve">Our Story</w:t>
      </w:r>
    </w:p>
    <w:p>
      <w:pPr>
        <w:spacing w:after="200" w:line="320"/>
      </w:pPr>
      <w:r>
        <w:rPr>
          <w:rFonts w:ascii="Georgia" w:cs="Georgia" w:eastAsia="Georgia" w:hAnsi="Georgia"/>
          <w:color w:val="1C1C1C"/>
          <w:sz w:val="22"/>
          <w:szCs w:val="22"/>
        </w:rPr>
        <w:t xml:space="preserve">Zomujo Foundation was born from a fundamental observation: across Ghana and much of Africa, the gap between what communities need and what systems deliver is not primarily a gap of resources. It is a gap of infrastructure. The digital tools, data systems, community networks, and institutional capacity that connect resources to outcomes are missing or broken.</w:t>
      </w:r>
    </w:p>
    <w:p>
      <w:pPr>
        <w:spacing w:after="200" w:line="320"/>
      </w:pPr>
      <w:r>
        <w:rPr>
          <w:rFonts w:ascii="Georgia" w:cs="Georgia" w:eastAsia="Georgia" w:hAnsi="Georgia"/>
          <w:color w:val="1C1C1C"/>
          <w:sz w:val="22"/>
          <w:szCs w:val="22"/>
        </w:rPr>
        <w:t xml:space="preserve">We saw community health workers doing extraordinary work with no data system to track their impact. We saw schools producing graduates with no pathway to employment. We saw smallholder farmers with no access to markets or climate information. And we saw, in every case, that the solution was not another programme. It was a system. A durable, technology supported, community owned system that would outlast any single intervention or funding cycle.</w:t>
      </w:r>
    </w:p>
    <w:p>
      <w:pPr>
        <w:spacing w:after="200" w:line="320"/>
      </w:pPr>
      <w:r>
        <w:rPr>
          <w:rFonts w:ascii="Georgia" w:cs="Georgia" w:eastAsia="Georgia" w:hAnsi="Georgia"/>
          <w:color w:val="1C1C1C"/>
          <w:sz w:val="22"/>
          <w:szCs w:val="22"/>
        </w:rPr>
        <w:t xml:space="preserve">That conviction drives Zomujo today. We are building the infrastructure layer beneath development: the systems that make programmes more effective, institutions more capable, outcomes more measurable, and progress more sustainable.</w:t>
      </w:r>
    </w:p>
    <w:p>
      <w:pPr>
        <w:spacing w:after="160" w:before="360"/>
      </w:pPr>
      <w:r>
        <w:rPr>
          <w:rFonts w:ascii="Arial" w:cs="Arial" w:eastAsia="Arial" w:hAnsi="Arial"/>
          <w:b/>
          <w:bCs/>
          <w:color w:val="1B4F72"/>
          <w:sz w:val="28"/>
          <w:szCs w:val="28"/>
        </w:rPr>
        <w:t xml:space="preserve">Mission</w:t>
      </w:r>
    </w:p>
    <w:p>
      <w:pPr>
        <w:spacing w:after="200" w:line="320"/>
      </w:pPr>
      <w:r>
        <w:rPr>
          <w:rFonts w:ascii="Georgia" w:cs="Georgia" w:eastAsia="Georgia" w:hAnsi="Georgia"/>
          <w:color w:val="1C1C1C"/>
          <w:sz w:val="22"/>
          <w:szCs w:val="22"/>
        </w:rPr>
        <w:t xml:space="preserve">To design and deploy technology enabled, community driven systems that strengthen how people live, learn, earn, and adapt, with a commitment to equity, evidence, and sustainability.</w:t>
      </w:r>
    </w:p>
    <w:p>
      <w:pPr>
        <w:spacing w:after="160" w:before="360"/>
      </w:pPr>
      <w:r>
        <w:rPr>
          <w:rFonts w:ascii="Arial" w:cs="Arial" w:eastAsia="Arial" w:hAnsi="Arial"/>
          <w:b/>
          <w:bCs/>
          <w:color w:val="1B4F72"/>
          <w:sz w:val="28"/>
          <w:szCs w:val="28"/>
        </w:rPr>
        <w:t xml:space="preserve">Vision</w:t>
      </w:r>
    </w:p>
    <w:p>
      <w:pPr>
        <w:spacing w:after="200" w:line="320"/>
      </w:pPr>
      <w:r>
        <w:rPr>
          <w:rFonts w:ascii="Georgia" w:cs="Georgia" w:eastAsia="Georgia" w:hAnsi="Georgia"/>
          <w:color w:val="1C1C1C"/>
          <w:sz w:val="22"/>
          <w:szCs w:val="22"/>
        </w:rPr>
        <w:t xml:space="preserve">A world where every community, regardless of geography, income, or institutional access, has the systems, tools, and capacity to achieve lasting wellbeing.</w:t>
      </w:r>
    </w:p>
    <w:p>
      <w:pPr>
        <w:spacing w:after="160" w:before="360"/>
      </w:pPr>
      <w:r>
        <w:rPr>
          <w:rFonts w:ascii="Arial" w:cs="Arial" w:eastAsia="Arial" w:hAnsi="Arial"/>
          <w:b/>
          <w:bCs/>
          <w:color w:val="1B4F72"/>
          <w:sz w:val="28"/>
          <w:szCs w:val="28"/>
        </w:rPr>
        <w:t xml:space="preserve">Values</w:t>
      </w:r>
    </w:p>
    <w:p>
      <w:pPr>
        <w:spacing w:after="200" w:line="320"/>
      </w:pPr>
      <w:r>
        <w:rPr>
          <w:rFonts w:ascii="Georgia" w:cs="Georgia" w:eastAsia="Georgia" w:hAnsi="Georgia"/>
          <w:b/>
          <w:bCs/>
          <w:color w:val="1C1C1C"/>
          <w:sz w:val="22"/>
          <w:szCs w:val="22"/>
        </w:rPr>
        <w:t xml:space="preserve">Systems Thinking: </w:t>
      </w:r>
      <w:r>
        <w:rPr>
          <w:rFonts w:ascii="Georgia" w:cs="Georgia" w:eastAsia="Georgia" w:hAnsi="Georgia"/>
          <w:color w:val="1C1C1C"/>
          <w:sz w:val="22"/>
          <w:szCs w:val="22"/>
        </w:rPr>
        <w:t xml:space="preserve">We do not build programmes. We build systems. Durable, interconnected, and designed to function beyond any single intervention or funding cycle.</w:t>
      </w:r>
    </w:p>
    <w:p>
      <w:pPr>
        <w:spacing w:after="200" w:line="320"/>
      </w:pPr>
      <w:r>
        <w:rPr>
          <w:rFonts w:ascii="Georgia" w:cs="Georgia" w:eastAsia="Georgia" w:hAnsi="Georgia"/>
          <w:b/>
          <w:bCs/>
          <w:color w:val="1C1C1C"/>
          <w:sz w:val="22"/>
          <w:szCs w:val="22"/>
        </w:rPr>
        <w:t xml:space="preserve">Community Ownership: </w:t>
      </w:r>
      <w:r>
        <w:rPr>
          <w:rFonts w:ascii="Georgia" w:cs="Georgia" w:eastAsia="Georgia" w:hAnsi="Georgia"/>
          <w:color w:val="1C1C1C"/>
          <w:sz w:val="22"/>
          <w:szCs w:val="22"/>
        </w:rPr>
        <w:t xml:space="preserve">Every solution we design is built with and for the communities it serves. Sustainability is not an afterthought. It is the starting point.</w:t>
      </w:r>
    </w:p>
    <w:p>
      <w:pPr>
        <w:spacing w:after="200" w:line="320"/>
      </w:pPr>
      <w:r>
        <w:rPr>
          <w:rFonts w:ascii="Georgia" w:cs="Georgia" w:eastAsia="Georgia" w:hAnsi="Georgia"/>
          <w:b/>
          <w:bCs/>
          <w:color w:val="1C1C1C"/>
          <w:sz w:val="22"/>
          <w:szCs w:val="22"/>
        </w:rPr>
        <w:t xml:space="preserve">Technology as Infrastructure: </w:t>
      </w:r>
      <w:r>
        <w:rPr>
          <w:rFonts w:ascii="Georgia" w:cs="Georgia" w:eastAsia="Georgia" w:hAnsi="Georgia"/>
          <w:color w:val="1C1C1C"/>
          <w:sz w:val="22"/>
          <w:szCs w:val="22"/>
        </w:rPr>
        <w:t xml:space="preserve">We see technology not as an end in itself, but as essential infrastructure, like roads or electricity, that connects people to opportunity and services.</w:t>
      </w:r>
    </w:p>
    <w:p>
      <w:pPr>
        <w:spacing w:after="200" w:line="320"/>
      </w:pPr>
      <w:r>
        <w:rPr>
          <w:rFonts w:ascii="Georgia" w:cs="Georgia" w:eastAsia="Georgia" w:hAnsi="Georgia"/>
          <w:b/>
          <w:bCs/>
          <w:color w:val="1C1C1C"/>
          <w:sz w:val="22"/>
          <w:szCs w:val="22"/>
        </w:rPr>
        <w:t xml:space="preserve">Evidence and Accountability: </w:t>
      </w:r>
      <w:r>
        <w:rPr>
          <w:rFonts w:ascii="Georgia" w:cs="Georgia" w:eastAsia="Georgia" w:hAnsi="Georgia"/>
          <w:color w:val="1C1C1C"/>
          <w:sz w:val="22"/>
          <w:szCs w:val="22"/>
        </w:rPr>
        <w:t xml:space="preserve">We measure what matters. Our work is driven by data, evaluated rigorously, and reported transparently to the communities and partners who invest their trust in us.</w:t>
      </w:r>
    </w:p>
    <w:p>
      <w:pPr>
        <w:spacing w:after="200" w:line="320"/>
      </w:pPr>
      <w:r>
        <w:rPr>
          <w:rFonts w:ascii="Georgia" w:cs="Georgia" w:eastAsia="Georgia" w:hAnsi="Georgia"/>
          <w:b/>
          <w:bCs/>
          <w:color w:val="1C1C1C"/>
          <w:sz w:val="22"/>
          <w:szCs w:val="22"/>
        </w:rPr>
        <w:t xml:space="preserve">Equity and Inclusion: </w:t>
      </w:r>
      <w:r>
        <w:rPr>
          <w:rFonts w:ascii="Georgia" w:cs="Georgia" w:eastAsia="Georgia" w:hAnsi="Georgia"/>
          <w:color w:val="1C1C1C"/>
          <w:sz w:val="22"/>
          <w:szCs w:val="22"/>
        </w:rPr>
        <w:t xml:space="preserve">We prioritise the hardest to reach. Our systems are designed for the margins, not adapted from the centre.</w:t>
      </w:r>
    </w:p>
    <w:p>
      <w:pPr>
        <w:spacing w:after="200" w:line="320"/>
      </w:pPr>
      <w:r>
        <w:rPr>
          <w:rFonts w:ascii="Georgia" w:cs="Georgia" w:eastAsia="Georgia" w:hAnsi="Georgia"/>
          <w:b/>
          <w:bCs/>
          <w:color w:val="1C1C1C"/>
          <w:sz w:val="22"/>
          <w:szCs w:val="22"/>
        </w:rPr>
        <w:t xml:space="preserve">Collaboration Over Competition: </w:t>
      </w:r>
      <w:r>
        <w:rPr>
          <w:rFonts w:ascii="Georgia" w:cs="Georgia" w:eastAsia="Georgia" w:hAnsi="Georgia"/>
          <w:color w:val="1C1C1C"/>
          <w:sz w:val="22"/>
          <w:szCs w:val="22"/>
        </w:rPr>
        <w:t xml:space="preserve">The problems we address are too large for any single organisation. We build coalitions, share knowledge, and strengthen the ecosystem rather than duplicating it.</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Every engagement follows a consistent methodology, refined through years of implementation:</w:t>
      </w:r>
    </w:p>
    <w:p>
      <w:pPr>
        <w:spacing w:after="200" w:line="320"/>
      </w:pPr>
      <w:r>
        <w:rPr>
          <w:rFonts w:ascii="Georgia" w:cs="Georgia" w:eastAsia="Georgia" w:hAnsi="Georgia"/>
          <w:b/>
          <w:bCs/>
          <w:color w:val="1C1C1C"/>
          <w:sz w:val="22"/>
          <w:szCs w:val="22"/>
        </w:rPr>
        <w:t xml:space="preserve">1. Listen and Map: </w:t>
      </w:r>
      <w:r>
        <w:rPr>
          <w:rFonts w:ascii="Georgia" w:cs="Georgia" w:eastAsia="Georgia" w:hAnsi="Georgia"/>
          <w:color w:val="1C1C1C"/>
          <w:sz w:val="22"/>
          <w:szCs w:val="22"/>
        </w:rPr>
        <w:t xml:space="preserve">We begin by understanding the existing system, its actors, incentives, bottlenecks, and strengths. We map the ecosystem before we intervene in it.</w:t>
      </w:r>
    </w:p>
    <w:p>
      <w:pPr>
        <w:spacing w:after="200" w:line="320"/>
      </w:pPr>
      <w:r>
        <w:rPr>
          <w:rFonts w:ascii="Georgia" w:cs="Georgia" w:eastAsia="Georgia" w:hAnsi="Georgia"/>
          <w:b/>
          <w:bCs/>
          <w:color w:val="1C1C1C"/>
          <w:sz w:val="22"/>
          <w:szCs w:val="22"/>
        </w:rPr>
        <w:t xml:space="preserve">2. Collaborative Design: </w:t>
      </w:r>
      <w:r>
        <w:rPr>
          <w:rFonts w:ascii="Georgia" w:cs="Georgia" w:eastAsia="Georgia" w:hAnsi="Georgia"/>
          <w:color w:val="1C1C1C"/>
          <w:sz w:val="22"/>
          <w:szCs w:val="22"/>
        </w:rPr>
        <w:t xml:space="preserve">We design solutions with community members, frontline workers, policymakers, and technical partners. No solution is built in isolation.</w:t>
      </w:r>
    </w:p>
    <w:p>
      <w:pPr>
        <w:spacing w:after="200" w:line="320"/>
      </w:pPr>
      <w:r>
        <w:rPr>
          <w:rFonts w:ascii="Georgia" w:cs="Georgia" w:eastAsia="Georgia" w:hAnsi="Georgia"/>
          <w:b/>
          <w:bCs/>
          <w:color w:val="1C1C1C"/>
          <w:sz w:val="22"/>
          <w:szCs w:val="22"/>
        </w:rPr>
        <w:t xml:space="preserve">3. Build and Test: </w:t>
      </w:r>
      <w:r>
        <w:rPr>
          <w:rFonts w:ascii="Georgia" w:cs="Georgia" w:eastAsia="Georgia" w:hAnsi="Georgia"/>
          <w:color w:val="1C1C1C"/>
          <w:sz w:val="22"/>
          <w:szCs w:val="22"/>
        </w:rPr>
        <w:t xml:space="preserve">We develop technology tools, training curricula, and operational models in rapid cycles, testing in real conditions and iterating based on evidence.</w:t>
      </w:r>
    </w:p>
    <w:p>
      <w:pPr>
        <w:spacing w:after="200" w:line="320"/>
      </w:pPr>
      <w:r>
        <w:rPr>
          <w:rFonts w:ascii="Georgia" w:cs="Georgia" w:eastAsia="Georgia" w:hAnsi="Georgia"/>
          <w:b/>
          <w:bCs/>
          <w:color w:val="1C1C1C"/>
          <w:sz w:val="22"/>
          <w:szCs w:val="22"/>
        </w:rPr>
        <w:t xml:space="preserve">4. Scale and Sustain: </w:t>
      </w:r>
      <w:r>
        <w:rPr>
          <w:rFonts w:ascii="Georgia" w:cs="Georgia" w:eastAsia="Georgia" w:hAnsi="Georgia"/>
          <w:color w:val="1C1C1C"/>
          <w:sz w:val="22"/>
          <w:szCs w:val="22"/>
        </w:rPr>
        <w:t xml:space="preserve">We design for handover from day one. Our systems are built to be owned by communities and institutions, not dependent on our continued presence.</w:t>
      </w:r>
    </w:p>
    <w:p>
      <w:pPr>
        <w:spacing w:after="200" w:line="320"/>
      </w:pPr>
      <w:r>
        <w:rPr>
          <w:rFonts w:ascii="Georgia" w:cs="Georgia" w:eastAsia="Georgia" w:hAnsi="Georgia"/>
          <w:b/>
          <w:bCs/>
          <w:color w:val="1C1C1C"/>
          <w:sz w:val="22"/>
          <w:szCs w:val="22"/>
        </w:rPr>
        <w:t xml:space="preserve">5. Measure and Share: </w:t>
      </w:r>
      <w:r>
        <w:rPr>
          <w:rFonts w:ascii="Georgia" w:cs="Georgia" w:eastAsia="Georgia" w:hAnsi="Georgia"/>
          <w:color w:val="1C1C1C"/>
          <w:sz w:val="22"/>
          <w:szCs w:val="22"/>
        </w:rPr>
        <w:t xml:space="preserve">We generate rigorous evidence on what works, publish our findings, and contribute to the broader knowledge base for effective development practice.</w:t>
      </w:r>
    </w:p>
    <w:p>
      <w:pPr>
        <w:spacing w:after="160" w:before="360"/>
      </w:pPr>
      <w:r>
        <w:rPr>
          <w:rFonts w:ascii="Arial" w:cs="Arial" w:eastAsia="Arial" w:hAnsi="Arial"/>
          <w:b/>
          <w:bCs/>
          <w:color w:val="1B4F72"/>
          <w:sz w:val="28"/>
          <w:szCs w:val="28"/>
        </w:rPr>
        <w:t xml:space="preserve">Governance and Leadership</w:t>
      </w:r>
    </w:p>
    <w:p>
      <w:pPr>
        <w:spacing w:after="200" w:line="320"/>
      </w:pPr>
      <w:r>
        <w:rPr>
          <w:rFonts w:ascii="Georgia" w:cs="Georgia" w:eastAsia="Georgia" w:hAnsi="Georgia"/>
          <w:color w:val="1C1C1C"/>
          <w:sz w:val="22"/>
          <w:szCs w:val="22"/>
        </w:rPr>
        <w:t xml:space="preserve">[Section for Board of Directors, Advisory Council, and Senior Leadership Team. Include names, titles, brief bios, and headshot photos. Emphasise diversity of expertise across health, technology, education, finance, policy, and community development.]</w:t>
      </w:r>
    </w:p>
    <w:p>
      <w:pPr>
        <w:spacing w:after="160" w:before="360"/>
      </w:pPr>
      <w:r>
        <w:rPr>
          <w:rFonts w:ascii="Arial" w:cs="Arial" w:eastAsia="Arial" w:hAnsi="Arial"/>
          <w:b/>
          <w:bCs/>
          <w:color w:val="1B4F72"/>
          <w:sz w:val="28"/>
          <w:szCs w:val="28"/>
        </w:rPr>
        <w:t xml:space="preserve">Accountability and Transparency</w:t>
      </w:r>
    </w:p>
    <w:p>
      <w:pPr>
        <w:spacing w:after="200" w:line="320"/>
      </w:pPr>
      <w:r>
        <w:rPr>
          <w:rFonts w:ascii="Georgia" w:cs="Georgia" w:eastAsia="Georgia" w:hAnsi="Georgia"/>
          <w:color w:val="1C1C1C"/>
          <w:sz w:val="22"/>
          <w:szCs w:val="22"/>
        </w:rPr>
        <w:t xml:space="preserve">Zomujo Foundation is committed to the highest standards of governance and accountability. We publish annual reports, audited financial statements, and independent programme evaluations. We are registered as a non profit organisation in Ghana and comply with all relevant regulatory frameworks. Our partners and donors receive regular, detailed reporting on the use of funds and the outcomes achieved.</w:t>
      </w:r>
    </w:p>
    <w:p>
      <w:pPr>
        <w:spacing w:after="200" w:line="320"/>
      </w:pPr>
      <w:r>
        <w:rPr>
          <w:rFonts w:ascii="Georgia" w:cs="Georgia" w:eastAsia="Georgia" w:hAnsi="Georgia"/>
          <w:color w:val="1C1C1C"/>
          <w:sz w:val="22"/>
          <w:szCs w:val="22"/>
        </w:rPr>
        <w:t xml:space="preserve">We adhere to international standards for non profit governance, financial management, and programme monitoring. We welcome scrutiny because transparency strengthens trust, and trust is the foundation of everything we do.</w:t>
      </w:r>
    </w:p>
    <w:p>
      <w:pPr>
        <w:spacing w:after="160" w:before="360"/>
      </w:pPr>
      <w:r>
        <w:rPr>
          <w:rFonts w:ascii="Arial" w:cs="Arial" w:eastAsia="Arial" w:hAnsi="Arial"/>
          <w:b/>
          <w:bCs/>
          <w:color w:val="1B4F72"/>
          <w:sz w:val="28"/>
          <w:szCs w:val="28"/>
        </w:rPr>
        <w:t xml:space="preserve">Alignment with Global and National Frameworks</w:t>
      </w:r>
    </w:p>
    <w:p>
      <w:pPr>
        <w:spacing w:after="200" w:line="320"/>
      </w:pPr>
      <w:r>
        <w:rPr>
          <w:rFonts w:ascii="Georgia" w:cs="Georgia" w:eastAsia="Georgia" w:hAnsi="Georgia"/>
          <w:color w:val="1C1C1C"/>
          <w:sz w:val="22"/>
          <w:szCs w:val="22"/>
        </w:rPr>
        <w:t xml:space="preserve">Our work is aligned with the United Nations Sustainable Development Goals (SDGs), the African Union Agenda 2063, Ghana's Coordinated Programme of Economic and Social Development Policies, and the priorities of major bilateral and multilateral development partners. This alignment ensures that our programmes contribute to nationally and globally recognised development objectives, and that our outcomes are reportable within established frameworks.</w:t>
      </w:r>
    </w:p>
    <w:p>
      <w:r>
        <w:br w:type="page"/>
      </w:r>
    </w:p>
    <w:p>
      <w:pPr>
        <w:spacing w:after="60" w:before="100"/>
      </w:pPr>
      <w:r>
        <w:rPr>
          <w:rFonts w:ascii="Arial" w:cs="Arial" w:eastAsia="Arial" w:hAnsi="Arial"/>
          <w:b/>
          <w:bCs/>
          <w:color w:val="2E86C1"/>
          <w:spacing w:val="80"/>
          <w:sz w:val="18"/>
          <w:szCs w:val="18"/>
        </w:rPr>
        <w:t xml:space="preserve">PAGE 3: FOCUS AREA</w:t>
      </w:r>
    </w:p>
    <w:p>
      <w:pPr>
        <w:spacing w:after="200" w:before="480"/>
      </w:pPr>
      <w:r>
        <w:rPr>
          <w:rFonts w:ascii="Arial" w:cs="Arial" w:eastAsia="Arial" w:hAnsi="Arial"/>
          <w:b/>
          <w:bCs/>
          <w:color w:val="1B4F72"/>
          <w:sz w:val="36"/>
          <w:szCs w:val="36"/>
        </w:rPr>
        <w:t xml:space="preserve">Health and Wellbeing Systems</w:t>
      </w:r>
    </w:p>
    <w:p>
      <w:pPr>
        <w:spacing w:after="300" w:before="80"/>
      </w:pPr>
      <w:r>
        <w:rPr>
          <w:rFonts w:ascii="Georgia" w:cs="Georgia" w:eastAsia="Georgia" w:hAnsi="Georgia"/>
          <w:i/>
          <w:iCs/>
          <w:color w:val="2E86C1"/>
          <w:sz w:val="24"/>
          <w:szCs w:val="24"/>
        </w:rPr>
        <w:t xml:space="preserve">Building the infrastructure for preventive, accessible, and data driven health systems that reach everyone.</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Across Africa, the burden of disease is undergoing a profound shift. Non communicable diseases, including hypertension, diabetes, mental health conditions, and cancers, are rising rapidly, yet health systems remain structured for episodic, acute care. Millions of people live with conditions that are detectable, treatable, and manageable, but go undiagnosed or are lost to follow up because the systems to manage them do not exist at the community level.</w:t>
      </w:r>
    </w:p>
    <w:p>
      <w:pPr>
        <w:spacing w:after="200" w:line="320"/>
      </w:pPr>
      <w:r>
        <w:rPr>
          <w:rFonts w:ascii="Georgia" w:cs="Georgia" w:eastAsia="Georgia" w:hAnsi="Georgia"/>
          <w:color w:val="1C1C1C"/>
          <w:sz w:val="22"/>
          <w:szCs w:val="22"/>
        </w:rPr>
        <w:t xml:space="preserve">In Ghana alone, an estimated 1.5 million people live with uncontrolled hypertension. Community health infrastructure exists on paper but lacks the digital tools, data systems, and workforce training to deliver consistent chronic disease management. The result is preventable deaths, preventable disability, and preventable economic loss at a massive scale.</w:t>
      </w:r>
    </w:p>
    <w:p>
      <w:pPr>
        <w:spacing w:after="200" w:line="320"/>
      </w:pPr>
      <w:r>
        <w:rPr>
          <w:rFonts w:ascii="Georgia" w:cs="Georgia" w:eastAsia="Georgia" w:hAnsi="Georgia"/>
          <w:color w:val="1C1C1C"/>
          <w:sz w:val="22"/>
          <w:szCs w:val="22"/>
        </w:rPr>
        <w:t xml:space="preserve">The World Health Organisation projects that non communicable diseases will account for the majority of deaths in Africa by 2030. The continent cannot afford to wait for hospital centred solutions that will never reach the populations who need them most. A fundamentally different approach is required.</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builds the digital and community infrastructure that connects patients to continuous, quality care, regardless of where they live or what device they own. Our approach integrates three reinforcing components:</w:t>
      </w:r>
    </w:p>
    <w:p>
      <w:pPr>
        <w:spacing w:after="200" w:line="320"/>
      </w:pPr>
      <w:r>
        <w:rPr>
          <w:rFonts w:ascii="Georgia" w:cs="Georgia" w:eastAsia="Georgia" w:hAnsi="Georgia"/>
          <w:b/>
          <w:bCs/>
          <w:color w:val="1C1C1C"/>
          <w:sz w:val="22"/>
          <w:szCs w:val="22"/>
        </w:rPr>
        <w:t xml:space="preserve">Community Care Networks: </w:t>
      </w:r>
      <w:r>
        <w:rPr>
          <w:rFonts w:ascii="Georgia" w:cs="Georgia" w:eastAsia="Georgia" w:hAnsi="Georgia"/>
          <w:color w:val="1C1C1C"/>
          <w:sz w:val="22"/>
          <w:szCs w:val="22"/>
        </w:rPr>
        <w:t xml:space="preserve">We train and equip community health workers with standardised screening protocols, digital data collection tools, and referral pathways. These networks operate in markets, workplaces, places of worship, and homes, taking care to where people already are rather than waiting for them to come to facilities.</w:t>
      </w:r>
    </w:p>
    <w:p>
      <w:pPr>
        <w:spacing w:after="200" w:line="320"/>
      </w:pPr>
      <w:r>
        <w:rPr>
          <w:rFonts w:ascii="Georgia" w:cs="Georgia" w:eastAsia="Georgia" w:hAnsi="Georgia"/>
          <w:b/>
          <w:bCs/>
          <w:color w:val="1C1C1C"/>
          <w:sz w:val="22"/>
          <w:szCs w:val="22"/>
        </w:rPr>
        <w:t xml:space="preserve">Digital Follow Up Systems: </w:t>
      </w:r>
      <w:r>
        <w:rPr>
          <w:rFonts w:ascii="Georgia" w:cs="Georgia" w:eastAsia="Georgia" w:hAnsi="Georgia"/>
          <w:color w:val="1C1C1C"/>
          <w:sz w:val="22"/>
          <w:szCs w:val="22"/>
        </w:rPr>
        <w:t xml:space="preserve">We build USSD and WhatsApp based patient engagement platforms that work on any phone, require minimal data, and support medication reminders, symptom tracking, refill alerts, and appointment scheduling. Every interaction generates data that feeds into clinical oversight and population health monitoring.</w:t>
      </w:r>
    </w:p>
    <w:p>
      <w:pPr>
        <w:spacing w:after="200" w:line="320"/>
      </w:pPr>
      <w:r>
        <w:rPr>
          <w:rFonts w:ascii="Georgia" w:cs="Georgia" w:eastAsia="Georgia" w:hAnsi="Georgia"/>
          <w:b/>
          <w:bCs/>
          <w:color w:val="1C1C1C"/>
          <w:sz w:val="22"/>
          <w:szCs w:val="22"/>
        </w:rPr>
        <w:t xml:space="preserve">Clinical Oversight and Data Intelligence: </w:t>
      </w:r>
      <w:r>
        <w:rPr>
          <w:rFonts w:ascii="Georgia" w:cs="Georgia" w:eastAsia="Georgia" w:hAnsi="Georgia"/>
          <w:color w:val="1C1C1C"/>
          <w:sz w:val="22"/>
          <w:szCs w:val="22"/>
        </w:rPr>
        <w:t xml:space="preserve">Every patient under management is monitored by a clinical team supported by dashboards and risk flagging algorithms. When a patient's data indicates deterioration, clinicians intervene proactively. The system ensures that no patient is lost to follow up.</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Chronic Disease Management: </w:t>
      </w:r>
      <w:r>
        <w:rPr>
          <w:rFonts w:ascii="Georgia" w:cs="Georgia" w:eastAsia="Georgia" w:hAnsi="Georgia"/>
          <w:color w:val="1C1C1C"/>
          <w:sz w:val="22"/>
          <w:szCs w:val="22"/>
        </w:rPr>
        <w:t xml:space="preserve">Screening, diagnosis, treatment adherence, and long term management of hypertension, diabetes, and related conditions at community scale. Integration with national health insurance systems for sustainability and reimbursement.</w:t>
      </w:r>
    </w:p>
    <w:p>
      <w:pPr>
        <w:spacing w:after="200" w:line="320"/>
      </w:pPr>
      <w:r>
        <w:rPr>
          <w:rFonts w:ascii="Georgia" w:cs="Georgia" w:eastAsia="Georgia" w:hAnsi="Georgia"/>
          <w:b/>
          <w:bCs/>
          <w:color w:val="1C1C1C"/>
          <w:sz w:val="22"/>
          <w:szCs w:val="22"/>
        </w:rPr>
        <w:t xml:space="preserve">Mental Health and Psychosocial Support: </w:t>
      </w:r>
      <w:r>
        <w:rPr>
          <w:rFonts w:ascii="Georgia" w:cs="Georgia" w:eastAsia="Georgia" w:hAnsi="Georgia"/>
          <w:color w:val="1C1C1C"/>
          <w:sz w:val="22"/>
          <w:szCs w:val="22"/>
        </w:rPr>
        <w:t xml:space="preserve">Community based mental health screening, referral, and ongoing support, integrated with primary care systems. Training of community health workers in mental health first response and stigma reduction.</w:t>
      </w:r>
    </w:p>
    <w:p>
      <w:pPr>
        <w:spacing w:after="200" w:line="320"/>
      </w:pPr>
      <w:r>
        <w:rPr>
          <w:rFonts w:ascii="Georgia" w:cs="Georgia" w:eastAsia="Georgia" w:hAnsi="Georgia"/>
          <w:b/>
          <w:bCs/>
          <w:color w:val="1C1C1C"/>
          <w:sz w:val="22"/>
          <w:szCs w:val="22"/>
        </w:rPr>
        <w:t xml:space="preserve">Maternal and Child Health: </w:t>
      </w:r>
      <w:r>
        <w:rPr>
          <w:rFonts w:ascii="Georgia" w:cs="Georgia" w:eastAsia="Georgia" w:hAnsi="Georgia"/>
          <w:color w:val="1C1C1C"/>
          <w:sz w:val="22"/>
          <w:szCs w:val="22"/>
        </w:rPr>
        <w:t xml:space="preserve">Technology supported antenatal and postnatal follow up, immunisation tracking, nutrition monitoring, and early childhood development screening. Designed to complement and strengthen existing CHPS infrastructure.</w:t>
      </w:r>
    </w:p>
    <w:p>
      <w:pPr>
        <w:spacing w:after="200" w:line="320"/>
      </w:pPr>
      <w:r>
        <w:rPr>
          <w:rFonts w:ascii="Georgia" w:cs="Georgia" w:eastAsia="Georgia" w:hAnsi="Georgia"/>
          <w:b/>
          <w:bCs/>
          <w:color w:val="1C1C1C"/>
          <w:sz w:val="22"/>
          <w:szCs w:val="22"/>
        </w:rPr>
        <w:t xml:space="preserve">Health Systems Strengthening: </w:t>
      </w:r>
      <w:r>
        <w:rPr>
          <w:rFonts w:ascii="Georgia" w:cs="Georgia" w:eastAsia="Georgia" w:hAnsi="Georgia"/>
          <w:color w:val="1C1C1C"/>
          <w:sz w:val="22"/>
          <w:szCs w:val="22"/>
        </w:rPr>
        <w:t xml:space="preserve">Capacity building for district health teams, data systems for health facilities, supply chain management tools, and integration with national health information and insurance infrastructure. Support for government health agencies in the transition from paper based to digital systems.</w:t>
      </w:r>
    </w:p>
    <w:p>
      <w:pPr>
        <w:spacing w:after="200" w:line="320"/>
      </w:pPr>
      <w:r>
        <w:rPr>
          <w:rFonts w:ascii="Georgia" w:cs="Georgia" w:eastAsia="Georgia" w:hAnsi="Georgia"/>
          <w:b/>
          <w:bCs/>
          <w:color w:val="1C1C1C"/>
          <w:sz w:val="22"/>
          <w:szCs w:val="22"/>
        </w:rPr>
        <w:t xml:space="preserve">Epidemic Preparedness and Response: </w:t>
      </w:r>
      <w:r>
        <w:rPr>
          <w:rFonts w:ascii="Georgia" w:cs="Georgia" w:eastAsia="Georgia" w:hAnsi="Georgia"/>
          <w:color w:val="1C1C1C"/>
          <w:sz w:val="22"/>
          <w:szCs w:val="22"/>
        </w:rPr>
        <w:t xml:space="preserve">Community surveillance systems, rapid response coordination platforms, and data tools that strengthen the capacity of local and national health systems to detect and respond to disease outbreaks.</w:t>
      </w:r>
    </w:p>
    <w:p>
      <w:pPr>
        <w:spacing w:after="160" w:before="360"/>
      </w:pPr>
      <w:r>
        <w:rPr>
          <w:rFonts w:ascii="Arial" w:cs="Arial" w:eastAsia="Arial" w:hAnsi="Arial"/>
          <w:b/>
          <w:bCs/>
          <w:color w:val="1B4F72"/>
          <w:sz w:val="28"/>
          <w:szCs w:val="28"/>
        </w:rPr>
        <w:t xml:space="preserve">Technology and Tools</w:t>
      </w:r>
    </w:p>
    <w:p>
      <w:pPr>
        <w:spacing w:after="200" w:line="320"/>
      </w:pPr>
      <w:r>
        <w:rPr>
          <w:rFonts w:ascii="Georgia" w:cs="Georgia" w:eastAsia="Georgia" w:hAnsi="Georgia"/>
          <w:color w:val="1C1C1C"/>
          <w:sz w:val="22"/>
          <w:szCs w:val="22"/>
        </w:rPr>
        <w:t xml:space="preserve">All our health technology is built for the infrastructure realities of the communities we serve: low bandwidth environments, low cost devices, multilingual populations, and the need for seamless integration with national health information systems. We design for Kumasi and Tamale, not for Silicon Valley.</w:t>
      </w:r>
    </w:p>
    <w:p>
      <w:pPr>
        <w:spacing w:after="200" w:line="320"/>
      </w:pPr>
      <w:r>
        <w:rPr>
          <w:rFonts w:ascii="Georgia" w:cs="Georgia" w:eastAsia="Georgia" w:hAnsi="Georgia"/>
          <w:color w:val="1C1C1C"/>
          <w:sz w:val="22"/>
          <w:szCs w:val="22"/>
        </w:rPr>
        <w:t xml:space="preserve">Our platforms support local language interfaces in Twi, Ga, Hausa, Ewe, and Dagbani, with offline functionality and integration with Ghana's National Health Insurance Authority (NHIA) for claims processing and reimbursement. All systems comply with national data protection regulations and international standards for health data governance.</w:t>
      </w:r>
    </w:p>
    <w:p>
      <w:pPr>
        <w:spacing w:after="160" w:before="360"/>
      </w:pPr>
      <w:r>
        <w:rPr>
          <w:rFonts w:ascii="Arial" w:cs="Arial" w:eastAsia="Arial" w:hAnsi="Arial"/>
          <w:b/>
          <w:bCs/>
          <w:color w:val="1B4F72"/>
          <w:sz w:val="28"/>
          <w:szCs w:val="28"/>
        </w:rPr>
        <w:t xml:space="preserve">Strategic Partnerships</w:t>
      </w:r>
    </w:p>
    <w:p>
      <w:pPr>
        <w:spacing w:after="200" w:line="320"/>
      </w:pPr>
      <w:r>
        <w:rPr>
          <w:rFonts w:ascii="Georgia" w:cs="Georgia" w:eastAsia="Georgia" w:hAnsi="Georgia"/>
          <w:color w:val="1C1C1C"/>
          <w:sz w:val="22"/>
          <w:szCs w:val="22"/>
        </w:rPr>
        <w:t xml:space="preserve">We work in close partnership with Ghana Health Service, the National Health Insurance Authority, district and regional health directorates, faith based health networks, telecommunications companies, pharmaceutical distributors, academic medical centres, and global health funders. Our model is designed to integrate with and strengthen existing public health infrastructure, not to operate alongside it.</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3 (Good Health and Wellbeing), with secondary contributions to SDG 1 (No Poverty), SDG 5 (Gender Equality), SDG 9 (Industry, Innovation, and Infrastructure), SDG 10 (Reduced Inequalities), and SDG 17 (Partnerships for the Goals).</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 </w:t>
      </w:r>
      <w:r>
        <w:rPr>
          <w:rFonts w:ascii="Georgia" w:cs="Georgia" w:eastAsia="Georgia" w:hAnsi="Georgia"/>
          <w:color w:val="1C1C1C"/>
          <w:sz w:val="22"/>
          <w:szCs w:val="22"/>
        </w:rPr>
        <w:t xml:space="preserve">Percentage of enrolled patients with controlled blood pressure or blood glucose at 12 months.</w:t>
      </w:r>
    </w:p>
    <w:p>
      <w:pPr>
        <w:spacing w:after="200" w:line="320"/>
      </w:pPr>
      <w:r>
        <w:rPr>
          <w:rFonts w:ascii="Georgia" w:cs="Georgia" w:eastAsia="Georgia" w:hAnsi="Georgia"/>
          <w:color w:val="1C1C1C"/>
          <w:sz w:val="22"/>
          <w:szCs w:val="22"/>
        </w:rPr>
        <w:t xml:space="preserve">We measure outcomes, not outputs. Not screens conducted. Not applications downloaded. Controlled disease. That is the metric that saves lives, reduces the burden on health systems, and demonstrates value to the governments and funders who invest in this work.</w:t>
      </w:r>
    </w:p>
    <w:p>
      <w:r>
        <w:br w:type="page"/>
      </w:r>
    </w:p>
    <w:p>
      <w:pPr>
        <w:spacing w:after="60" w:before="100"/>
      </w:pPr>
      <w:r>
        <w:rPr>
          <w:rFonts w:ascii="Arial" w:cs="Arial" w:eastAsia="Arial" w:hAnsi="Arial"/>
          <w:b/>
          <w:bCs/>
          <w:color w:val="2E86C1"/>
          <w:spacing w:val="80"/>
          <w:sz w:val="18"/>
          <w:szCs w:val="18"/>
        </w:rPr>
        <w:t xml:space="preserve">PAGE 4: FOCUS AREA</w:t>
      </w:r>
    </w:p>
    <w:p>
      <w:pPr>
        <w:spacing w:after="200" w:before="480"/>
      </w:pPr>
      <w:r>
        <w:rPr>
          <w:rFonts w:ascii="Arial" w:cs="Arial" w:eastAsia="Arial" w:hAnsi="Arial"/>
          <w:b/>
          <w:bCs/>
          <w:color w:val="1B4F72"/>
          <w:sz w:val="36"/>
          <w:szCs w:val="36"/>
        </w:rPr>
        <w:t xml:space="preserve">Education, Skills and Youth Development</w:t>
      </w:r>
    </w:p>
    <w:p>
      <w:pPr>
        <w:spacing w:after="300" w:before="80"/>
      </w:pPr>
      <w:r>
        <w:rPr>
          <w:rFonts w:ascii="Georgia" w:cs="Georgia" w:eastAsia="Georgia" w:hAnsi="Georgia"/>
          <w:i/>
          <w:iCs/>
          <w:color w:val="2E86C1"/>
          <w:sz w:val="24"/>
          <w:szCs w:val="24"/>
        </w:rPr>
        <w:t xml:space="preserve">Equipping young people and communities with the knowledge, skills, and pathways to thrive in a changing world.</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Africa has the youngest population on earth. By 2030, the continent will have more young people entering the workforce than the rest of the world combined. Yet education systems across the region remain structurally disconnected from the labour market. Graduates emerge with qualifications but not competencies. Vocational training is underfunded and stigmatised. Digital literacy, the baseline requirement for participation in the modern economy, remains inaccessible to millions.</w:t>
      </w:r>
    </w:p>
    <w:p>
      <w:pPr>
        <w:spacing w:after="200" w:line="320"/>
      </w:pPr>
      <w:r>
        <w:rPr>
          <w:rFonts w:ascii="Georgia" w:cs="Georgia" w:eastAsia="Georgia" w:hAnsi="Georgia"/>
          <w:color w:val="1C1C1C"/>
          <w:sz w:val="22"/>
          <w:szCs w:val="22"/>
        </w:rPr>
        <w:t xml:space="preserve">The crisis extends beyond access. Millions of children are enrolled in school but are not learning. Teachers are undertrained and unsupported by digital tools or continuous professional development. Curricula are outdated and disconnected from the demands of local and global labour markets. For the millions of young people outside formal education entirely, working in informal markets, on farms, and in households, there are almost no structured pathways to skills acquisition and economic participation.</w:t>
      </w:r>
    </w:p>
    <w:p>
      <w:pPr>
        <w:spacing w:after="200" w:line="320"/>
      </w:pPr>
      <w:r>
        <w:rPr>
          <w:rFonts w:ascii="Georgia" w:cs="Georgia" w:eastAsia="Georgia" w:hAnsi="Georgia"/>
          <w:color w:val="1C1C1C"/>
          <w:sz w:val="22"/>
          <w:szCs w:val="22"/>
        </w:rPr>
        <w:t xml:space="preserve">Without urgent, systemic intervention, Africa's demographic dividend risks becoming a demographic burden. The stakes are generational.</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works to bridge the gap between education and opportunity through digital skills training, community based learning infrastructure, workforce development, and partnerships that connect young people to meaningful livelihoods. We do not replicate formal education systems. We build the complementary infrastructure that makes those systems more effective, and we create alternative pathways for those the formal system has not served.</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Digital Literacy and STEM Education: </w:t>
      </w:r>
      <w:r>
        <w:rPr>
          <w:rFonts w:ascii="Georgia" w:cs="Georgia" w:eastAsia="Georgia" w:hAnsi="Georgia"/>
          <w:color w:val="1C1C1C"/>
          <w:sz w:val="22"/>
          <w:szCs w:val="22"/>
        </w:rPr>
        <w:t xml:space="preserve">Community based digital skills hubs offering structured training in computing fundamentals, internet literacy, data skills, and introductory programming. Designed for young people and adults with limited prior exposure to technology, using low cost devices and locally relevant curricula developed in partnership with education authorities.</w:t>
      </w:r>
    </w:p>
    <w:p>
      <w:pPr>
        <w:spacing w:after="200" w:line="320"/>
      </w:pPr>
      <w:r>
        <w:rPr>
          <w:rFonts w:ascii="Georgia" w:cs="Georgia" w:eastAsia="Georgia" w:hAnsi="Georgia"/>
          <w:b/>
          <w:bCs/>
          <w:color w:val="1C1C1C"/>
          <w:sz w:val="22"/>
          <w:szCs w:val="22"/>
        </w:rPr>
        <w:t xml:space="preserve">Workforce Readiness and Vocational Skills: </w:t>
      </w:r>
      <w:r>
        <w:rPr>
          <w:rFonts w:ascii="Georgia" w:cs="Georgia" w:eastAsia="Georgia" w:hAnsi="Georgia"/>
          <w:color w:val="1C1C1C"/>
          <w:sz w:val="22"/>
          <w:szCs w:val="22"/>
        </w:rPr>
        <w:t xml:space="preserve">Programmes that connect skills training directly to employment pathways, including partnerships with employers, apprenticeship placements, and entrepreneurship support. We focus on sectors with demonstrated labour demand: technology, agriculture, health, renewable energy, construction, and creative industries.</w:t>
      </w:r>
    </w:p>
    <w:p>
      <w:pPr>
        <w:spacing w:after="200" w:line="320"/>
      </w:pPr>
      <w:r>
        <w:rPr>
          <w:rFonts w:ascii="Georgia" w:cs="Georgia" w:eastAsia="Georgia" w:hAnsi="Georgia"/>
          <w:b/>
          <w:bCs/>
          <w:color w:val="1C1C1C"/>
          <w:sz w:val="22"/>
          <w:szCs w:val="22"/>
        </w:rPr>
        <w:t xml:space="preserve">Teacher and Facilitator Development: </w:t>
      </w:r>
      <w:r>
        <w:rPr>
          <w:rFonts w:ascii="Georgia" w:cs="Georgia" w:eastAsia="Georgia" w:hAnsi="Georgia"/>
          <w:color w:val="1C1C1C"/>
          <w:sz w:val="22"/>
          <w:szCs w:val="22"/>
        </w:rPr>
        <w:t xml:space="preserve">Training programmes for classroom teachers, community facilitators, and youth mentors, equipping them with digital pedagogical tools, modern instructional methods, and ongoing support through peer learning networks and coaching platforms. Designed to complement national teacher training strategies.</w:t>
      </w:r>
    </w:p>
    <w:p>
      <w:pPr>
        <w:spacing w:after="200" w:line="320"/>
      </w:pPr>
      <w:r>
        <w:rPr>
          <w:rFonts w:ascii="Georgia" w:cs="Georgia" w:eastAsia="Georgia" w:hAnsi="Georgia"/>
          <w:b/>
          <w:bCs/>
          <w:color w:val="1C1C1C"/>
          <w:sz w:val="22"/>
          <w:szCs w:val="22"/>
        </w:rPr>
        <w:t xml:space="preserve">Youth Leadership and Civic Engagement: </w:t>
      </w:r>
      <w:r>
        <w:rPr>
          <w:rFonts w:ascii="Georgia" w:cs="Georgia" w:eastAsia="Georgia" w:hAnsi="Georgia"/>
          <w:color w:val="1C1C1C"/>
          <w:sz w:val="22"/>
          <w:szCs w:val="22"/>
        </w:rPr>
        <w:t xml:space="preserve">Structured programmes that develop leadership, critical thinking, communication, and civic participation skills among young people, building the next generation of community leaders, social entrepreneurs, and public servants.</w:t>
      </w:r>
    </w:p>
    <w:p>
      <w:pPr>
        <w:spacing w:after="200" w:line="320"/>
      </w:pPr>
      <w:r>
        <w:rPr>
          <w:rFonts w:ascii="Georgia" w:cs="Georgia" w:eastAsia="Georgia" w:hAnsi="Georgia"/>
          <w:b/>
          <w:bCs/>
          <w:color w:val="1C1C1C"/>
          <w:sz w:val="22"/>
          <w:szCs w:val="22"/>
        </w:rPr>
        <w:t xml:space="preserve">Early Childhood Development: </w:t>
      </w:r>
      <w:r>
        <w:rPr>
          <w:rFonts w:ascii="Georgia" w:cs="Georgia" w:eastAsia="Georgia" w:hAnsi="Georgia"/>
          <w:color w:val="1C1C1C"/>
          <w:sz w:val="22"/>
          <w:szCs w:val="22"/>
        </w:rPr>
        <w:t xml:space="preserve">Community based early learning programmes that support cognitive, social, and emotional development in children aged zero to six, with a focus on underserved and rural communities where formal early childhood education infrastructure does not exist.</w:t>
      </w:r>
    </w:p>
    <w:p>
      <w:pPr>
        <w:spacing w:after="160" w:before="360"/>
      </w:pPr>
      <w:r>
        <w:rPr>
          <w:rFonts w:ascii="Arial" w:cs="Arial" w:eastAsia="Arial" w:hAnsi="Arial"/>
          <w:b/>
          <w:bCs/>
          <w:color w:val="1B4F72"/>
          <w:sz w:val="28"/>
          <w:szCs w:val="28"/>
        </w:rPr>
        <w:t xml:space="preserve">Technology and Tools</w:t>
      </w:r>
    </w:p>
    <w:p>
      <w:pPr>
        <w:spacing w:after="200" w:line="320"/>
      </w:pPr>
      <w:r>
        <w:rPr>
          <w:rFonts w:ascii="Georgia" w:cs="Georgia" w:eastAsia="Georgia" w:hAnsi="Georgia"/>
          <w:color w:val="1C1C1C"/>
          <w:sz w:val="22"/>
          <w:szCs w:val="22"/>
        </w:rPr>
        <w:t xml:space="preserve">We deploy low cost, offline capable digital learning platforms; mobile based training content delivered via USSD and WhatsApp; open source learning management systems adapted for low bandwidth environments; and data dashboards that track learner progress, facilitator performance, and programme outcomes in real time.</w:t>
      </w:r>
    </w:p>
    <w:p>
      <w:pPr>
        <w:spacing w:after="160" w:before="360"/>
      </w:pPr>
      <w:r>
        <w:rPr>
          <w:rFonts w:ascii="Arial" w:cs="Arial" w:eastAsia="Arial" w:hAnsi="Arial"/>
          <w:b/>
          <w:bCs/>
          <w:color w:val="1B4F72"/>
          <w:sz w:val="28"/>
          <w:szCs w:val="28"/>
        </w:rPr>
        <w:t xml:space="preserve">Strategic Partnerships</w:t>
      </w:r>
    </w:p>
    <w:p>
      <w:pPr>
        <w:spacing w:after="200" w:line="320"/>
      </w:pPr>
      <w:r>
        <w:rPr>
          <w:rFonts w:ascii="Georgia" w:cs="Georgia" w:eastAsia="Georgia" w:hAnsi="Georgia"/>
          <w:color w:val="1C1C1C"/>
          <w:sz w:val="22"/>
          <w:szCs w:val="22"/>
        </w:rPr>
        <w:t xml:space="preserve">We partner with ministries of education, technical and vocational education and training (TVET) authorities, universities, private sector employers, international education organisations, and community based organisations. Our model is designed to complement and strengthen national education strategies and human capital development plans.</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4 (Quality Education), with secondary contributions to SDG 1 (No Poverty), SDG 5 (Gender Equality), SDG 8 (Decent Work and Economic Growth), SDG 9 (Industry, Innovation, and Infrastructure), and SDG 10 (Reduced Inequalities).</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Percentage of programme graduates in employment, further education, or enterprise within 12 months. Measurable improvement in digital literacy and foundational competencies. Facilitator retention and performance rates. Number of young people transitioned from informal to formal or structured economic activity.</w:t>
      </w:r>
    </w:p>
    <w:p>
      <w:r>
        <w:br w:type="page"/>
      </w:r>
    </w:p>
    <w:p>
      <w:pPr>
        <w:spacing w:after="60" w:before="100"/>
      </w:pPr>
      <w:r>
        <w:rPr>
          <w:rFonts w:ascii="Arial" w:cs="Arial" w:eastAsia="Arial" w:hAnsi="Arial"/>
          <w:b/>
          <w:bCs/>
          <w:color w:val="2E86C1"/>
          <w:spacing w:val="80"/>
          <w:sz w:val="18"/>
          <w:szCs w:val="18"/>
        </w:rPr>
        <w:t xml:space="preserve">PAGE 5: FOCUS AREA</w:t>
      </w:r>
    </w:p>
    <w:p>
      <w:pPr>
        <w:spacing w:after="200" w:before="480"/>
      </w:pPr>
      <w:r>
        <w:rPr>
          <w:rFonts w:ascii="Arial" w:cs="Arial" w:eastAsia="Arial" w:hAnsi="Arial"/>
          <w:b/>
          <w:bCs/>
          <w:color w:val="1B4F72"/>
          <w:sz w:val="36"/>
          <w:szCs w:val="36"/>
        </w:rPr>
        <w:t xml:space="preserve">Digital Innovation and Access</w:t>
      </w:r>
    </w:p>
    <w:p>
      <w:pPr>
        <w:spacing w:after="300" w:before="80"/>
      </w:pPr>
      <w:r>
        <w:rPr>
          <w:rFonts w:ascii="Georgia" w:cs="Georgia" w:eastAsia="Georgia" w:hAnsi="Georgia"/>
          <w:i/>
          <w:iCs/>
          <w:color w:val="2E86C1"/>
          <w:sz w:val="24"/>
          <w:szCs w:val="24"/>
        </w:rPr>
        <w:t xml:space="preserve">Closing the digital divide by building tools, platforms, and connectivity that work for underserved populations.</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The digital divide is not merely about connectivity. It is about usability, affordability, relevance, and trust. Across Africa, millions of people have nominal access to mobile phones and the internet but lack the tools, skills, and platforms designed for their languages, literacy levels, and economic realities. Technology solutions built for high bandwidth, smartphone first, English speaking markets do not serve communities in Tamale, Bolgatanga, or Keta.</w:t>
      </w:r>
    </w:p>
    <w:p>
      <w:pPr>
        <w:spacing w:after="200" w:line="320"/>
      </w:pPr>
      <w:r>
        <w:rPr>
          <w:rFonts w:ascii="Georgia" w:cs="Georgia" w:eastAsia="Georgia" w:hAnsi="Georgia"/>
          <w:color w:val="1C1C1C"/>
          <w:sz w:val="22"/>
          <w:szCs w:val="22"/>
        </w:rPr>
        <w:t xml:space="preserve">At the same time, the development sector, across health, education, agriculture, and governance, is increasingly reliant on digital tools for service delivery, data collection, and coordination. Without intentional investment in inclusive digital infrastructure, digitalisation risks widening the very inequalities it claims to address.</w:t>
      </w:r>
    </w:p>
    <w:p>
      <w:pPr>
        <w:spacing w:after="200" w:line="320"/>
      </w:pPr>
      <w:r>
        <w:rPr>
          <w:rFonts w:ascii="Georgia" w:cs="Georgia" w:eastAsia="Georgia" w:hAnsi="Georgia"/>
          <w:color w:val="1C1C1C"/>
          <w:sz w:val="22"/>
          <w:szCs w:val="22"/>
        </w:rPr>
        <w:t xml:space="preserve">The International Telecommunication Union estimates that approximately 60% of Africans remain offline. Among those who are connected, meaningful use, the ability to use digital tools to access services, earn income, or participate in civic life, remains far lower. Bridging this gap is not a technology challenge alone. It is a design challenge, a language challenge, a literacy challenge, and a trust challenge.</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treats digital access as foundational infrastructure, as essential as roads, electricity, or clean water. We build, deploy, and maintain digital tools and platforms designed from the ground up for underserved communities. Our technology is not adapted from other contexts. It is built here, for here, by teams who understand the communities it serves.</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Appropriate Technology Development: </w:t>
      </w:r>
      <w:r>
        <w:rPr>
          <w:rFonts w:ascii="Georgia" w:cs="Georgia" w:eastAsia="Georgia" w:hAnsi="Georgia"/>
          <w:color w:val="1C1C1C"/>
          <w:sz w:val="22"/>
          <w:szCs w:val="22"/>
        </w:rPr>
        <w:t xml:space="preserve">Design and deployment of digital tools built for low bandwidth, multilingual, and low literacy contexts. USSD first interfaces. Offline capable applications. Voice based interaction. Local language support across Ghanaian and West African languages.</w:t>
      </w:r>
    </w:p>
    <w:p>
      <w:pPr>
        <w:spacing w:after="200" w:line="320"/>
      </w:pPr>
      <w:r>
        <w:rPr>
          <w:rFonts w:ascii="Georgia" w:cs="Georgia" w:eastAsia="Georgia" w:hAnsi="Georgia"/>
          <w:b/>
          <w:bCs/>
          <w:color w:val="1C1C1C"/>
          <w:sz w:val="22"/>
          <w:szCs w:val="22"/>
        </w:rPr>
        <w:t xml:space="preserve">Community Digital Infrastructure: </w:t>
      </w:r>
      <w:r>
        <w:rPr>
          <w:rFonts w:ascii="Georgia" w:cs="Georgia" w:eastAsia="Georgia" w:hAnsi="Georgia"/>
          <w:color w:val="1C1C1C"/>
          <w:sz w:val="22"/>
          <w:szCs w:val="22"/>
        </w:rPr>
        <w:t xml:space="preserve">Establishment and support of community technology hubs, including shared computing facilities, internet access points, and digital resource centres in underserved areas. These hubs serve as platforms for digital skills training, government service access, economic activity, and community coordination.</w:t>
      </w:r>
    </w:p>
    <w:p>
      <w:pPr>
        <w:spacing w:after="200" w:line="320"/>
      </w:pPr>
      <w:r>
        <w:rPr>
          <w:rFonts w:ascii="Georgia" w:cs="Georgia" w:eastAsia="Georgia" w:hAnsi="Georgia"/>
          <w:b/>
          <w:bCs/>
          <w:color w:val="1C1C1C"/>
          <w:sz w:val="22"/>
          <w:szCs w:val="22"/>
        </w:rPr>
        <w:t xml:space="preserve">Open Data and Civic Technology: </w:t>
      </w:r>
      <w:r>
        <w:rPr>
          <w:rFonts w:ascii="Georgia" w:cs="Georgia" w:eastAsia="Georgia" w:hAnsi="Georgia"/>
          <w:color w:val="1C1C1C"/>
          <w:sz w:val="22"/>
          <w:szCs w:val="22"/>
        </w:rPr>
        <w:t xml:space="preserve">Development of open source platforms that enable communities, civil society, and local government to collect, share, and use data for decision making. Tools for budget tracking, service delivery monitoring, and community feedback.</w:t>
      </w:r>
    </w:p>
    <w:p>
      <w:pPr>
        <w:spacing w:after="200" w:line="320"/>
      </w:pPr>
      <w:r>
        <w:rPr>
          <w:rFonts w:ascii="Georgia" w:cs="Georgia" w:eastAsia="Georgia" w:hAnsi="Georgia"/>
          <w:b/>
          <w:bCs/>
          <w:color w:val="1C1C1C"/>
          <w:sz w:val="22"/>
          <w:szCs w:val="22"/>
        </w:rPr>
        <w:t xml:space="preserve">Digital Identity and Financial Inclusion: </w:t>
      </w:r>
      <w:r>
        <w:rPr>
          <w:rFonts w:ascii="Georgia" w:cs="Georgia" w:eastAsia="Georgia" w:hAnsi="Georgia"/>
          <w:color w:val="1C1C1C"/>
          <w:sz w:val="22"/>
          <w:szCs w:val="22"/>
        </w:rPr>
        <w:t xml:space="preserve">Supporting communities in accessing digital identity systems, mobile money platforms, and other foundational digital services. Partnering with financial institutions and telecommunications providers to lower barriers to inclusion.</w:t>
      </w:r>
    </w:p>
    <w:p>
      <w:pPr>
        <w:spacing w:after="200" w:line="320"/>
      </w:pPr>
      <w:r>
        <w:rPr>
          <w:rFonts w:ascii="Georgia" w:cs="Georgia" w:eastAsia="Georgia" w:hAnsi="Georgia"/>
          <w:b/>
          <w:bCs/>
          <w:color w:val="1C1C1C"/>
          <w:sz w:val="22"/>
          <w:szCs w:val="22"/>
        </w:rPr>
        <w:t xml:space="preserve">Innovation Ecosystem Support: </w:t>
      </w:r>
      <w:r>
        <w:rPr>
          <w:rFonts w:ascii="Georgia" w:cs="Georgia" w:eastAsia="Georgia" w:hAnsi="Georgia"/>
          <w:color w:val="1C1C1C"/>
          <w:sz w:val="22"/>
          <w:szCs w:val="22"/>
        </w:rPr>
        <w:t xml:space="preserve">Mentoring, incubation, and seed funding support for local technology entrepreneurs and social enterprises building solutions for underserved markets. We invest in the innovation ecosystem, not just individual products.</w:t>
      </w:r>
    </w:p>
    <w:p>
      <w:pPr>
        <w:spacing w:after="160" w:before="360"/>
      </w:pPr>
      <w:r>
        <w:rPr>
          <w:rFonts w:ascii="Arial" w:cs="Arial" w:eastAsia="Arial" w:hAnsi="Arial"/>
          <w:b/>
          <w:bCs/>
          <w:color w:val="1B4F72"/>
          <w:sz w:val="28"/>
          <w:szCs w:val="28"/>
        </w:rPr>
        <w:t xml:space="preserve">Design Principles</w:t>
      </w:r>
    </w:p>
    <w:p>
      <w:pPr>
        <w:spacing w:after="200" w:line="320"/>
      </w:pPr>
      <w:r>
        <w:rPr>
          <w:rFonts w:ascii="Georgia" w:cs="Georgia" w:eastAsia="Georgia" w:hAnsi="Georgia"/>
          <w:b/>
          <w:bCs/>
          <w:color w:val="1C1C1C"/>
          <w:sz w:val="22"/>
          <w:szCs w:val="22"/>
        </w:rPr>
        <w:t xml:space="preserve">Built for the last mile: </w:t>
      </w:r>
      <w:r>
        <w:rPr>
          <w:rFonts w:ascii="Georgia" w:cs="Georgia" w:eastAsia="Georgia" w:hAnsi="Georgia"/>
          <w:color w:val="1C1C1C"/>
          <w:sz w:val="22"/>
          <w:szCs w:val="22"/>
        </w:rPr>
        <w:t xml:space="preserve">Every product decision starts with the most constrained user: lowest bandwidth, oldest device, least formal education, furthest from a service centre.</w:t>
      </w:r>
    </w:p>
    <w:p>
      <w:pPr>
        <w:spacing w:after="200" w:line="320"/>
      </w:pPr>
      <w:r>
        <w:rPr>
          <w:rFonts w:ascii="Georgia" w:cs="Georgia" w:eastAsia="Georgia" w:hAnsi="Georgia"/>
          <w:b/>
          <w:bCs/>
          <w:color w:val="1C1C1C"/>
          <w:sz w:val="22"/>
          <w:szCs w:val="22"/>
        </w:rPr>
        <w:t xml:space="preserve">Community owned: </w:t>
      </w:r>
      <w:r>
        <w:rPr>
          <w:rFonts w:ascii="Georgia" w:cs="Georgia" w:eastAsia="Georgia" w:hAnsi="Georgia"/>
          <w:color w:val="1C1C1C"/>
          <w:sz w:val="22"/>
          <w:szCs w:val="22"/>
        </w:rPr>
        <w:t xml:space="preserve">We design for handover. Our tools are meant to be maintained and governed by the communities and institutions that use them.</w:t>
      </w:r>
    </w:p>
    <w:p>
      <w:pPr>
        <w:spacing w:after="200" w:line="320"/>
      </w:pPr>
      <w:r>
        <w:rPr>
          <w:rFonts w:ascii="Georgia" w:cs="Georgia" w:eastAsia="Georgia" w:hAnsi="Georgia"/>
          <w:b/>
          <w:bCs/>
          <w:color w:val="1C1C1C"/>
          <w:sz w:val="22"/>
          <w:szCs w:val="22"/>
        </w:rPr>
        <w:t xml:space="preserve">Interoperable: </w:t>
      </w:r>
      <w:r>
        <w:rPr>
          <w:rFonts w:ascii="Georgia" w:cs="Georgia" w:eastAsia="Georgia" w:hAnsi="Georgia"/>
          <w:color w:val="1C1C1C"/>
          <w:sz w:val="22"/>
          <w:szCs w:val="22"/>
        </w:rPr>
        <w:t xml:space="preserve">Our platforms are built to integrate with national systems, including health information systems, education databases, and agricultural extension platforms, not to replace them.</w:t>
      </w:r>
    </w:p>
    <w:p>
      <w:pPr>
        <w:spacing w:after="200" w:line="320"/>
      </w:pPr>
      <w:r>
        <w:rPr>
          <w:rFonts w:ascii="Georgia" w:cs="Georgia" w:eastAsia="Georgia" w:hAnsi="Georgia"/>
          <w:b/>
          <w:bCs/>
          <w:color w:val="1C1C1C"/>
          <w:sz w:val="22"/>
          <w:szCs w:val="22"/>
        </w:rPr>
        <w:t xml:space="preserve">Privacy and security first: </w:t>
      </w:r>
      <w:r>
        <w:rPr>
          <w:rFonts w:ascii="Georgia" w:cs="Georgia" w:eastAsia="Georgia" w:hAnsi="Georgia"/>
          <w:color w:val="1C1C1C"/>
          <w:sz w:val="22"/>
          <w:szCs w:val="22"/>
        </w:rPr>
        <w:t xml:space="preserve">We treat community data with the same rigour expected of any global technology organisation. Data governance, informed consent, and security are non negotiable.</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9 (Industry, Innovation, and Infrastructure), with secondary contributions to SDG 1 (No Poverty), SDG 4 (Quality Education), SDG 5 (Gender Equality), SDG 8 (Decent Work and Economic Growth), SDG 10 (Reduced Inequalities), and SDG 16 (Peace, Justice, and Strong Institutions).</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Number of individuals with meaningful digital access, defined as regular use of digital tools for economic, educational, or health purposes. Adoption and sustained use rates for platforms deployed. Reduction in time and cost to access public services through digital channels. Number of local technology entrepreneurs supported to viability.</w:t>
      </w:r>
    </w:p>
    <w:p>
      <w:r>
        <w:br w:type="page"/>
      </w:r>
    </w:p>
    <w:p>
      <w:pPr>
        <w:spacing w:after="60" w:before="100"/>
      </w:pPr>
      <w:r>
        <w:rPr>
          <w:rFonts w:ascii="Arial" w:cs="Arial" w:eastAsia="Arial" w:hAnsi="Arial"/>
          <w:b/>
          <w:bCs/>
          <w:color w:val="2E86C1"/>
          <w:spacing w:val="80"/>
          <w:sz w:val="18"/>
          <w:szCs w:val="18"/>
        </w:rPr>
        <w:t xml:space="preserve">PAGE 6: FOCUS AREA</w:t>
      </w:r>
    </w:p>
    <w:p>
      <w:pPr>
        <w:spacing w:after="200" w:before="480"/>
      </w:pPr>
      <w:r>
        <w:rPr>
          <w:rFonts w:ascii="Arial" w:cs="Arial" w:eastAsia="Arial" w:hAnsi="Arial"/>
          <w:b/>
          <w:bCs/>
          <w:color w:val="1B4F72"/>
          <w:sz w:val="36"/>
          <w:szCs w:val="36"/>
        </w:rPr>
        <w:t xml:space="preserve">Community Systems and Social Protection</w:t>
      </w:r>
    </w:p>
    <w:p>
      <w:pPr>
        <w:spacing w:after="300" w:before="80"/>
      </w:pPr>
      <w:r>
        <w:rPr>
          <w:rFonts w:ascii="Georgia" w:cs="Georgia" w:eastAsia="Georgia" w:hAnsi="Georgia"/>
          <w:i/>
          <w:iCs/>
          <w:color w:val="2E86C1"/>
          <w:sz w:val="24"/>
          <w:szCs w:val="24"/>
        </w:rPr>
        <w:t xml:space="preserve">Strengthening the networks, institutions, and safety nets that hold communities together.</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Formal social protection systems across much of Africa reach only a fraction of those who need them. Government safety nets, including cash transfers, insurance schemes, and disability support, are underfunded, poorly targeted, and difficult to access. In the absence of robust formal systems, communities rely on informal networks: extended families, religious institutions, community savings groups, and traditional leadership structures. These networks are powerful but fragile, vulnerable to economic shocks, migration, urbanisation, and the erosion of social cohesion.</w:t>
      </w:r>
    </w:p>
    <w:p>
      <w:pPr>
        <w:spacing w:after="200" w:line="320"/>
      </w:pPr>
      <w:r>
        <w:rPr>
          <w:rFonts w:ascii="Georgia" w:cs="Georgia" w:eastAsia="Georgia" w:hAnsi="Georgia"/>
          <w:color w:val="1C1C1C"/>
          <w:sz w:val="22"/>
          <w:szCs w:val="22"/>
        </w:rPr>
        <w:t xml:space="preserve">The result is a protection gap. When a household faces a health emergency, a crop failure, a bereavement, or a job loss, the systems meant to support them often do not exist or do not reach them in time. Women, children, persons with disabilities, and the elderly are disproportionately affected.</w:t>
      </w:r>
    </w:p>
    <w:p>
      <w:pPr>
        <w:spacing w:after="200" w:line="320"/>
      </w:pPr>
      <w:r>
        <w:rPr>
          <w:rFonts w:ascii="Georgia" w:cs="Georgia" w:eastAsia="Georgia" w:hAnsi="Georgia"/>
          <w:color w:val="1C1C1C"/>
          <w:sz w:val="22"/>
          <w:szCs w:val="22"/>
        </w:rPr>
        <w:t xml:space="preserve">Governments across the continent are investing in expanding social protection coverage, but they face critical capacity constraints: inadequate data systems for identification and targeting, insufficient frontline workforce, weak coordination across agencies, and limited technology infrastructure. These are precisely the gaps Zomujo is built to address.</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works to strengthen both formal and informal community systems by building the digital tools, institutional capacity, workforce training, and coordination mechanisms that make social protection more effective, more inclusive, and more responsive. We do not build parallel systems. We strengthen the systems that already exist and bridge the gaps between them.</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Community Health and Social Worker Networks: </w:t>
      </w:r>
      <w:r>
        <w:rPr>
          <w:rFonts w:ascii="Georgia" w:cs="Georgia" w:eastAsia="Georgia" w:hAnsi="Georgia"/>
          <w:color w:val="1C1C1C"/>
          <w:sz w:val="22"/>
          <w:szCs w:val="22"/>
        </w:rPr>
        <w:t xml:space="preserve">Training, equipping, and digitally connecting frontline community workers, including community health workers, social welfare officers, and community volunteers, with standardised tools, supervision systems, and referral pathways. These workers are the backbone of community level service delivery, and their effectiveness depends on the systems that support them.</w:t>
      </w:r>
    </w:p>
    <w:p>
      <w:pPr>
        <w:spacing w:after="200" w:line="320"/>
      </w:pPr>
      <w:r>
        <w:rPr>
          <w:rFonts w:ascii="Georgia" w:cs="Georgia" w:eastAsia="Georgia" w:hAnsi="Georgia"/>
          <w:b/>
          <w:bCs/>
          <w:color w:val="1C1C1C"/>
          <w:sz w:val="22"/>
          <w:szCs w:val="22"/>
        </w:rPr>
        <w:t xml:space="preserve">Social Protection Data Systems: </w:t>
      </w:r>
      <w:r>
        <w:rPr>
          <w:rFonts w:ascii="Georgia" w:cs="Georgia" w:eastAsia="Georgia" w:hAnsi="Georgia"/>
          <w:color w:val="1C1C1C"/>
          <w:sz w:val="22"/>
          <w:szCs w:val="22"/>
        </w:rPr>
        <w:t xml:space="preserve">Building and maintaining digital registries, targeting tools, and case management systems that help government agencies and development partners identify, reach, and track vulnerable households. Integration with national social protection databases, health insurance systems, and civil registration infrastructure.</w:t>
      </w:r>
    </w:p>
    <w:p>
      <w:pPr>
        <w:spacing w:after="200" w:line="320"/>
      </w:pPr>
      <w:r>
        <w:rPr>
          <w:rFonts w:ascii="Georgia" w:cs="Georgia" w:eastAsia="Georgia" w:hAnsi="Georgia"/>
          <w:b/>
          <w:bCs/>
          <w:color w:val="1C1C1C"/>
          <w:sz w:val="22"/>
          <w:szCs w:val="22"/>
        </w:rPr>
        <w:t xml:space="preserve">Community Based Savings and Insurance: </w:t>
      </w:r>
      <w:r>
        <w:rPr>
          <w:rFonts w:ascii="Georgia" w:cs="Georgia" w:eastAsia="Georgia" w:hAnsi="Georgia"/>
          <w:color w:val="1C1C1C"/>
          <w:sz w:val="22"/>
          <w:szCs w:val="22"/>
        </w:rPr>
        <w:t xml:space="preserve">Supporting and digitising community savings groups, including susu groups and village savings and loan associations, providing training, mobile based record keeping, and linkages to formal financial institutions and insurance products.</w:t>
      </w:r>
    </w:p>
    <w:p>
      <w:pPr>
        <w:spacing w:after="200" w:line="320"/>
      </w:pPr>
      <w:r>
        <w:rPr>
          <w:rFonts w:ascii="Georgia" w:cs="Georgia" w:eastAsia="Georgia" w:hAnsi="Georgia"/>
          <w:b/>
          <w:bCs/>
          <w:color w:val="1C1C1C"/>
          <w:sz w:val="22"/>
          <w:szCs w:val="22"/>
        </w:rPr>
        <w:t xml:space="preserve">Disaster Preparedness and Emergency Response: </w:t>
      </w:r>
      <w:r>
        <w:rPr>
          <w:rFonts w:ascii="Georgia" w:cs="Georgia" w:eastAsia="Georgia" w:hAnsi="Georgia"/>
          <w:color w:val="1C1C1C"/>
          <w:sz w:val="22"/>
          <w:szCs w:val="22"/>
        </w:rPr>
        <w:t xml:space="preserve">Community level early warning systems, emergency coordination platforms, and resilience planning tools. Building the capacity of communities and local government to prepare for and respond to shocks, including floods, disease outbreaks, and economic crises.</w:t>
      </w:r>
    </w:p>
    <w:p>
      <w:pPr>
        <w:spacing w:after="200" w:line="320"/>
      </w:pPr>
      <w:r>
        <w:rPr>
          <w:rFonts w:ascii="Georgia" w:cs="Georgia" w:eastAsia="Georgia" w:hAnsi="Georgia"/>
          <w:b/>
          <w:bCs/>
          <w:color w:val="1C1C1C"/>
          <w:sz w:val="22"/>
          <w:szCs w:val="22"/>
        </w:rPr>
        <w:t xml:space="preserve">Social Cohesion and Inclusion: </w:t>
      </w:r>
      <w:r>
        <w:rPr>
          <w:rFonts w:ascii="Georgia" w:cs="Georgia" w:eastAsia="Georgia" w:hAnsi="Georgia"/>
          <w:color w:val="1C1C1C"/>
          <w:sz w:val="22"/>
          <w:szCs w:val="22"/>
        </w:rPr>
        <w:t xml:space="preserve">Programmes that strengthen trust, cooperation, and inclusion within communities, with a focus on marginalised groups including persons with disabilities, the elderly, displaced populations, women, and ethnic minorities.</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1 (No Poverty) and SDG 10 (Reduced Inequalities), with secondary contributions to SDG 2 (Zero Hunger), SDG 3 (Good Health and Wellbeing), SDG 5 (Gender Equality), SDG 11 (Sustainable Cities and Communities), SDG 16 (Peace, Justice, and Strong Institutions), and SDG 17 (Partnerships for the Goals).</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Percentage of vulnerable households with access to at least one formal or structured social protection mechanism. Response time to community level emergencies. Sustainability and growth of community savings groups. Coverage and accuracy of social protection targeting systems. Number of frontline workers supported with digital tools and training.</w:t>
      </w:r>
    </w:p>
    <w:p>
      <w:r>
        <w:br w:type="page"/>
      </w:r>
    </w:p>
    <w:p>
      <w:pPr>
        <w:spacing w:after="60" w:before="100"/>
      </w:pPr>
      <w:r>
        <w:rPr>
          <w:rFonts w:ascii="Arial" w:cs="Arial" w:eastAsia="Arial" w:hAnsi="Arial"/>
          <w:b/>
          <w:bCs/>
          <w:color w:val="2E86C1"/>
          <w:spacing w:val="80"/>
          <w:sz w:val="18"/>
          <w:szCs w:val="18"/>
        </w:rPr>
        <w:t xml:space="preserve">PAGE 7: FOCUS AREA</w:t>
      </w:r>
    </w:p>
    <w:p>
      <w:pPr>
        <w:spacing w:after="200" w:before="480"/>
      </w:pPr>
      <w:r>
        <w:rPr>
          <w:rFonts w:ascii="Arial" w:cs="Arial" w:eastAsia="Arial" w:hAnsi="Arial"/>
          <w:b/>
          <w:bCs/>
          <w:color w:val="1B4F72"/>
          <w:sz w:val="36"/>
          <w:szCs w:val="36"/>
        </w:rPr>
        <w:t xml:space="preserve">Economic Empowerment and Livelihoods</w:t>
      </w:r>
    </w:p>
    <w:p>
      <w:pPr>
        <w:spacing w:after="300" w:before="80"/>
      </w:pPr>
      <w:r>
        <w:rPr>
          <w:rFonts w:ascii="Georgia" w:cs="Georgia" w:eastAsia="Georgia" w:hAnsi="Georgia"/>
          <w:i/>
          <w:iCs/>
          <w:color w:val="2E86C1"/>
          <w:sz w:val="24"/>
          <w:szCs w:val="24"/>
        </w:rPr>
        <w:t xml:space="preserve">Creating pathways to sustainable income, enterprise, and financial inclusion for individuals and communities.</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Economic opportunity in Africa is abundant in aggregate but inaccessible in practice. The continent's micro, small, and medium enterprise (MSME) sector accounts for approximately 80% of employment, yet the vast majority of these enterprises operate informally, without access to credit, markets, business development services, or digital tools. Women led enterprises face compounded barriers, including limited access to finance, land, and networks. Youth unemployment and underemployment remain at crisis levels, driving migration, instability, and the waste of enormous human potential.</w:t>
      </w:r>
    </w:p>
    <w:p>
      <w:pPr>
        <w:spacing w:after="200" w:line="320"/>
      </w:pPr>
      <w:r>
        <w:rPr>
          <w:rFonts w:ascii="Georgia" w:cs="Georgia" w:eastAsia="Georgia" w:hAnsi="Georgia"/>
          <w:color w:val="1C1C1C"/>
          <w:sz w:val="22"/>
          <w:szCs w:val="22"/>
        </w:rPr>
        <w:t xml:space="preserve">The missing layer is infrastructure: the digital platforms, market linkages, financial products, and training systems that connect economic activity to sustainable growth. Without this infrastructure, entrepreneurship remains survival, not development. The African Development Bank estimates the continent's MSME financing gap at over USD 330 billion.</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builds the infrastructure that converts economic activity into economic empowerment through digital marketplaces, financial inclusion tools, skills to livelihoods pathways, and enterprise support systems designed for informal and underserved markets. We work at the intersection of technology, market systems, and community networks to create conditions in which enterprises and individuals can grow sustainably.</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MSME Development and Support: </w:t>
      </w:r>
      <w:r>
        <w:rPr>
          <w:rFonts w:ascii="Georgia" w:cs="Georgia" w:eastAsia="Georgia" w:hAnsi="Georgia"/>
          <w:color w:val="1C1C1C"/>
          <w:sz w:val="22"/>
          <w:szCs w:val="22"/>
        </w:rPr>
        <w:t xml:space="preserve">Business development services, mentorship, and digital tools for micro, small, and medium enterprises, including business planning, financial management, marketing, and regulatory compliance support. Tailored for informal and early stage enterprises, with particular attention to women and youth owned businesses.</w:t>
      </w:r>
    </w:p>
    <w:p>
      <w:pPr>
        <w:spacing w:after="200" w:line="320"/>
      </w:pPr>
      <w:r>
        <w:rPr>
          <w:rFonts w:ascii="Georgia" w:cs="Georgia" w:eastAsia="Georgia" w:hAnsi="Georgia"/>
          <w:b/>
          <w:bCs/>
          <w:color w:val="1C1C1C"/>
          <w:sz w:val="22"/>
          <w:szCs w:val="22"/>
        </w:rPr>
        <w:t xml:space="preserve">Financial Inclusion and Access to Credit: </w:t>
      </w:r>
      <w:r>
        <w:rPr>
          <w:rFonts w:ascii="Georgia" w:cs="Georgia" w:eastAsia="Georgia" w:hAnsi="Georgia"/>
          <w:color w:val="1C1C1C"/>
          <w:sz w:val="22"/>
          <w:szCs w:val="22"/>
        </w:rPr>
        <w:t xml:space="preserve">Partnerships with financial institutions, mobile money providers, and community lending groups to expand access to savings, credit, insurance, and payment services. Digital platforms that build transaction histories and credit profiles for previously unbanked individuals and enterprises.</w:t>
      </w:r>
    </w:p>
    <w:p>
      <w:pPr>
        <w:spacing w:after="200" w:line="320"/>
      </w:pPr>
      <w:r>
        <w:rPr>
          <w:rFonts w:ascii="Georgia" w:cs="Georgia" w:eastAsia="Georgia" w:hAnsi="Georgia"/>
          <w:b/>
          <w:bCs/>
          <w:color w:val="1C1C1C"/>
          <w:sz w:val="22"/>
          <w:szCs w:val="22"/>
        </w:rPr>
        <w:t xml:space="preserve">Market Access and Value Chain Development: </w:t>
      </w:r>
      <w:r>
        <w:rPr>
          <w:rFonts w:ascii="Georgia" w:cs="Georgia" w:eastAsia="Georgia" w:hAnsi="Georgia"/>
          <w:color w:val="1C1C1C"/>
          <w:sz w:val="22"/>
          <w:szCs w:val="22"/>
        </w:rPr>
        <w:t xml:space="preserve">Digital marketplaces and supply chain platforms that connect smallholder farmers, artisans, and micro enterprises to buyers, distributors, and export markets. Value chain mapping and optimisation for key sectors including agriculture, textiles, and agro processing.</w:t>
      </w:r>
    </w:p>
    <w:p>
      <w:pPr>
        <w:spacing w:after="200" w:line="320"/>
      </w:pPr>
      <w:r>
        <w:rPr>
          <w:rFonts w:ascii="Georgia" w:cs="Georgia" w:eastAsia="Georgia" w:hAnsi="Georgia"/>
          <w:b/>
          <w:bCs/>
          <w:color w:val="1C1C1C"/>
          <w:sz w:val="22"/>
          <w:szCs w:val="22"/>
        </w:rPr>
        <w:t xml:space="preserve">Women's Economic Empowerment: </w:t>
      </w:r>
      <w:r>
        <w:rPr>
          <w:rFonts w:ascii="Georgia" w:cs="Georgia" w:eastAsia="Georgia" w:hAnsi="Georgia"/>
          <w:color w:val="1C1C1C"/>
          <w:sz w:val="22"/>
          <w:szCs w:val="22"/>
        </w:rPr>
        <w:t xml:space="preserve">Dedicated programmes that address the specific barriers women face in economic participation, including access to finance, digital literacy, childcare, leadership development, and land and asset ownership. Gender intentional design is embedded across all economic empowerment programming.</w:t>
      </w:r>
    </w:p>
    <w:p>
      <w:pPr>
        <w:spacing w:after="200" w:line="320"/>
      </w:pPr>
      <w:r>
        <w:rPr>
          <w:rFonts w:ascii="Georgia" w:cs="Georgia" w:eastAsia="Georgia" w:hAnsi="Georgia"/>
          <w:b/>
          <w:bCs/>
          <w:color w:val="1C1C1C"/>
          <w:sz w:val="22"/>
          <w:szCs w:val="22"/>
        </w:rPr>
        <w:t xml:space="preserve">Agriculture and Agribusiness: </w:t>
      </w:r>
      <w:r>
        <w:rPr>
          <w:rFonts w:ascii="Georgia" w:cs="Georgia" w:eastAsia="Georgia" w:hAnsi="Georgia"/>
          <w:color w:val="1C1C1C"/>
          <w:sz w:val="22"/>
          <w:szCs w:val="22"/>
        </w:rPr>
        <w:t xml:space="preserve">Technology enabled support for smallholder farmers, including climate smart agricultural practices, market price information, extension services via mobile platforms, post harvest loss reduction, and linkages to agribusiness value chains and export markets.</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1 (No Poverty), SDG 8 (Decent Work and Economic Growth), and SDG 9 (Industry, Innovation, and Infrastructure), with secondary contributions to SDG 2 (Zero Hunger), SDG 5 (Gender Equality), SDG 10 (Reduced Inequalities), and SDG 12 (Responsible Consumption and Production).</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Percentage increase in income for programme participants over 12 and 24 months. Number of enterprises accessing formal financial services for the first time. Number of market linkages facilitated. Jobs created or sustained through supported enterprises. Percentage of women participants reporting increased economic agency.</w:t>
      </w:r>
    </w:p>
    <w:p>
      <w:r>
        <w:br w:type="page"/>
      </w:r>
    </w:p>
    <w:p>
      <w:pPr>
        <w:spacing w:after="60" w:before="100"/>
      </w:pPr>
      <w:r>
        <w:rPr>
          <w:rFonts w:ascii="Arial" w:cs="Arial" w:eastAsia="Arial" w:hAnsi="Arial"/>
          <w:b/>
          <w:bCs/>
          <w:color w:val="2E86C1"/>
          <w:spacing w:val="80"/>
          <w:sz w:val="18"/>
          <w:szCs w:val="18"/>
        </w:rPr>
        <w:t xml:space="preserve">PAGE 8: FOCUS AREA</w:t>
      </w:r>
    </w:p>
    <w:p>
      <w:pPr>
        <w:spacing w:after="200" w:before="480"/>
      </w:pPr>
      <w:r>
        <w:rPr>
          <w:rFonts w:ascii="Arial" w:cs="Arial" w:eastAsia="Arial" w:hAnsi="Arial"/>
          <w:b/>
          <w:bCs/>
          <w:color w:val="1B4F72"/>
          <w:sz w:val="36"/>
          <w:szCs w:val="36"/>
        </w:rPr>
        <w:t xml:space="preserve">Climate, Environment and Resilience</w:t>
      </w:r>
    </w:p>
    <w:p>
      <w:pPr>
        <w:spacing w:after="300" w:before="80"/>
      </w:pPr>
      <w:r>
        <w:rPr>
          <w:rFonts w:ascii="Georgia" w:cs="Georgia" w:eastAsia="Georgia" w:hAnsi="Georgia"/>
          <w:i/>
          <w:iCs/>
          <w:color w:val="2E86C1"/>
          <w:sz w:val="24"/>
          <w:szCs w:val="24"/>
        </w:rPr>
        <w:t xml:space="preserve">Enabling communities to adapt, respond, and build lasting resilience in the face of environmental and climate challenges.</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Africa contributes less than 4% of global greenhouse gas emissions but bears a disproportionate share of climate impacts. Rising temperatures, erratic rainfall, coastal erosion, flooding, and prolonged droughts are already disrupting agriculture, displacing communities, straining water resources, and deepening poverty. In Ghana, climate change threatens cocoa production, the country's largest agricultural export, and intensifies flooding in urban areas such as Accra, where inadequate drainage and waste management compound the effects.</w:t>
      </w:r>
    </w:p>
    <w:p>
      <w:pPr>
        <w:spacing w:after="200" w:line="320"/>
      </w:pPr>
      <w:r>
        <w:rPr>
          <w:rFonts w:ascii="Georgia" w:cs="Georgia" w:eastAsia="Georgia" w:hAnsi="Georgia"/>
          <w:color w:val="1C1C1C"/>
          <w:sz w:val="22"/>
          <w:szCs w:val="22"/>
        </w:rPr>
        <w:t xml:space="preserve">Communities on the front lines of climate change are also the least equipped to respond. They lack early warning systems, climate information services, adaptation finance, and the technical capacity to implement resilience strategies. The gap between global climate commitments and local climate action is vast. According to the African Development Bank, Africa needs between USD 215 billion and USD 387 billion per year through 2030 to address climate change, yet current flows cover only a fraction of this need.</w:t>
      </w:r>
    </w:p>
    <w:p>
      <w:pPr>
        <w:spacing w:after="200" w:line="320"/>
      </w:pPr>
      <w:r>
        <w:rPr>
          <w:rFonts w:ascii="Georgia" w:cs="Georgia" w:eastAsia="Georgia" w:hAnsi="Georgia"/>
          <w:color w:val="1C1C1C"/>
          <w:sz w:val="22"/>
          <w:szCs w:val="22"/>
        </w:rPr>
        <w:t xml:space="preserve">Climate adaptation is not an environmental issue alone. It is a health issue, a food security issue, a livelihoods issue, and a governance issue. Effective climate action must be integrated across sectors and led by the communities most affected.</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works at the intersection of climate action and community development, building the data systems, community capacity, and technology tools that enable locally led climate adaptation and environmental stewardship. We do not treat climate as a standalone issue. We integrate climate resilience into every sector we work in: health, agriculture, livelihoods, education, and community systems.</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Community Based Climate Adaptation: </w:t>
      </w:r>
      <w:r>
        <w:rPr>
          <w:rFonts w:ascii="Georgia" w:cs="Georgia" w:eastAsia="Georgia" w:hAnsi="Georgia"/>
          <w:color w:val="1C1C1C"/>
          <w:sz w:val="22"/>
          <w:szCs w:val="22"/>
        </w:rPr>
        <w:t xml:space="preserve">Participatory climate vulnerability assessments, community adaptation planning, and implementation of locally appropriate resilience strategies, including climate smart agriculture, water harvesting, flood resistant infrastructure, and livelihood diversification.</w:t>
      </w:r>
    </w:p>
    <w:p>
      <w:pPr>
        <w:spacing w:after="200" w:line="320"/>
      </w:pPr>
      <w:r>
        <w:rPr>
          <w:rFonts w:ascii="Georgia" w:cs="Georgia" w:eastAsia="Georgia" w:hAnsi="Georgia"/>
          <w:b/>
          <w:bCs/>
          <w:color w:val="1C1C1C"/>
          <w:sz w:val="22"/>
          <w:szCs w:val="22"/>
        </w:rPr>
        <w:t xml:space="preserve">Climate Information and Early Warning Systems: </w:t>
      </w:r>
      <w:r>
        <w:rPr>
          <w:rFonts w:ascii="Georgia" w:cs="Georgia" w:eastAsia="Georgia" w:hAnsi="Georgia"/>
          <w:color w:val="1C1C1C"/>
          <w:sz w:val="22"/>
          <w:szCs w:val="22"/>
        </w:rPr>
        <w:t xml:space="preserve">Mobile based climate information services for farmers and communities, including weather forecasts, planting advisories, flood alerts, and drought early warnings. Delivered via USSD, WhatsApp, and community radio in local languages.</w:t>
      </w:r>
    </w:p>
    <w:p>
      <w:pPr>
        <w:spacing w:after="200" w:line="320"/>
      </w:pPr>
      <w:r>
        <w:rPr>
          <w:rFonts w:ascii="Georgia" w:cs="Georgia" w:eastAsia="Georgia" w:hAnsi="Georgia"/>
          <w:b/>
          <w:bCs/>
          <w:color w:val="1C1C1C"/>
          <w:sz w:val="22"/>
          <w:szCs w:val="22"/>
        </w:rPr>
        <w:t xml:space="preserve">Environmental Monitoring and Data: </w:t>
      </w:r>
      <w:r>
        <w:rPr>
          <w:rFonts w:ascii="Georgia" w:cs="Georgia" w:eastAsia="Georgia" w:hAnsi="Georgia"/>
          <w:color w:val="1C1C1C"/>
          <w:sz w:val="22"/>
          <w:szCs w:val="22"/>
        </w:rPr>
        <w:t xml:space="preserve">Community led environmental monitoring programmes that track deforestation, water quality, air quality, and land degradation using low cost sensors, satellite data, and citizen science approaches. Data feeds into local and national decision making and supports evidence based advocacy.</w:t>
      </w:r>
    </w:p>
    <w:p>
      <w:pPr>
        <w:spacing w:after="200" w:line="320"/>
      </w:pPr>
      <w:r>
        <w:rPr>
          <w:rFonts w:ascii="Georgia" w:cs="Georgia" w:eastAsia="Georgia" w:hAnsi="Georgia"/>
          <w:b/>
          <w:bCs/>
          <w:color w:val="1C1C1C"/>
          <w:sz w:val="22"/>
          <w:szCs w:val="22"/>
        </w:rPr>
        <w:t xml:space="preserve">Waste Management and Circular Economy: </w:t>
      </w:r>
      <w:r>
        <w:rPr>
          <w:rFonts w:ascii="Georgia" w:cs="Georgia" w:eastAsia="Georgia" w:hAnsi="Georgia"/>
          <w:color w:val="1C1C1C"/>
          <w:sz w:val="22"/>
          <w:szCs w:val="22"/>
        </w:rPr>
        <w:t xml:space="preserve">Community based waste management systems, including collection, sorting, recycling, and composting, that create local employment while addressing environmental health. Technology platforms for waste logistics and market linkages for recyclable materials.</w:t>
      </w:r>
    </w:p>
    <w:p>
      <w:pPr>
        <w:spacing w:after="200" w:line="320"/>
      </w:pPr>
      <w:r>
        <w:rPr>
          <w:rFonts w:ascii="Georgia" w:cs="Georgia" w:eastAsia="Georgia" w:hAnsi="Georgia"/>
          <w:b/>
          <w:bCs/>
          <w:color w:val="1C1C1C"/>
          <w:sz w:val="22"/>
          <w:szCs w:val="22"/>
        </w:rPr>
        <w:t xml:space="preserve">Green Skills and Livelihoods: </w:t>
      </w:r>
      <w:r>
        <w:rPr>
          <w:rFonts w:ascii="Georgia" w:cs="Georgia" w:eastAsia="Georgia" w:hAnsi="Georgia"/>
          <w:color w:val="1C1C1C"/>
          <w:sz w:val="22"/>
          <w:szCs w:val="22"/>
        </w:rPr>
        <w:t xml:space="preserve">Training programmes in renewable energy installation, sustainable agriculture, waste management, and environmental monitoring, creating green employment pathways for young people and workers transitioning from climate affected sectors.</w:t>
      </w:r>
    </w:p>
    <w:p>
      <w:pPr>
        <w:spacing w:after="200" w:line="320"/>
      </w:pPr>
      <w:r>
        <w:rPr>
          <w:rFonts w:ascii="Georgia" w:cs="Georgia" w:eastAsia="Georgia" w:hAnsi="Georgia"/>
          <w:b/>
          <w:bCs/>
          <w:color w:val="1C1C1C"/>
          <w:sz w:val="22"/>
          <w:szCs w:val="22"/>
        </w:rPr>
        <w:t xml:space="preserve">Climate Finance Access: </w:t>
      </w:r>
      <w:r>
        <w:rPr>
          <w:rFonts w:ascii="Georgia" w:cs="Georgia" w:eastAsia="Georgia" w:hAnsi="Georgia"/>
          <w:color w:val="1C1C1C"/>
          <w:sz w:val="22"/>
          <w:szCs w:val="22"/>
        </w:rPr>
        <w:t xml:space="preserve">Supporting communities and local organisations to access climate adaptation and mitigation finance through proposal development, project design, and partnerships with major climate funds including the Green Climate Fund, the Adaptation Fund, the Global Environment Facility, and bilateral climate programmes.</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13 (Climate Action), with secondary contributions to SDG 1 (No Poverty), SDG 2 (Zero Hunger), SDG 6 (Clean Water and Sanitation), SDG 7 (Affordable and Clean Energy), SDG 11 (Sustainable Cities and Communities), SDG 12 (Responsible Consumption and Production), and SDG 15 (Life on Land).</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Number of communities with functioning climate adaptation plans. Reduction in climate related livelihood losses among programme participants. Volume of climate finance mobilised for community level projects. Hectares under improved environmental management. Number of individuals trained and employed in green livelihoods.</w:t>
      </w:r>
    </w:p>
    <w:p>
      <w:r>
        <w:br w:type="page"/>
      </w:r>
    </w:p>
    <w:p>
      <w:pPr>
        <w:spacing w:after="60" w:before="100"/>
      </w:pPr>
      <w:r>
        <w:rPr>
          <w:rFonts w:ascii="Arial" w:cs="Arial" w:eastAsia="Arial" w:hAnsi="Arial"/>
          <w:b/>
          <w:bCs/>
          <w:color w:val="2E86C1"/>
          <w:spacing w:val="80"/>
          <w:sz w:val="18"/>
          <w:szCs w:val="18"/>
        </w:rPr>
        <w:t xml:space="preserve">PAGE 9: FOCUS AREA</w:t>
      </w:r>
    </w:p>
    <w:p>
      <w:pPr>
        <w:spacing w:after="200" w:before="480"/>
      </w:pPr>
      <w:r>
        <w:rPr>
          <w:rFonts w:ascii="Arial" w:cs="Arial" w:eastAsia="Arial" w:hAnsi="Arial"/>
          <w:b/>
          <w:bCs/>
          <w:color w:val="1B4F72"/>
          <w:sz w:val="36"/>
          <w:szCs w:val="36"/>
        </w:rPr>
        <w:t xml:space="preserve">Research, Data and Policy Influence</w:t>
      </w:r>
    </w:p>
    <w:p>
      <w:pPr>
        <w:spacing w:after="300" w:before="80"/>
      </w:pPr>
      <w:r>
        <w:rPr>
          <w:rFonts w:ascii="Georgia" w:cs="Georgia" w:eastAsia="Georgia" w:hAnsi="Georgia"/>
          <w:i/>
          <w:iCs/>
          <w:color w:val="2E86C1"/>
          <w:sz w:val="24"/>
          <w:szCs w:val="24"/>
        </w:rPr>
        <w:t xml:space="preserve">Generating evidence, shaping policy, and building the knowledge base for effective development practice.</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The Challenge</w:t>
      </w:r>
    </w:p>
    <w:p>
      <w:pPr>
        <w:spacing w:after="200" w:line="320"/>
      </w:pPr>
      <w:r>
        <w:rPr>
          <w:rFonts w:ascii="Georgia" w:cs="Georgia" w:eastAsia="Georgia" w:hAnsi="Georgia"/>
          <w:color w:val="1C1C1C"/>
          <w:sz w:val="22"/>
          <w:szCs w:val="22"/>
        </w:rPr>
        <w:t xml:space="preserve">Too much development practice in Africa is driven by assumptions rather than evidence. Programme design is often based on what funders want to fund rather than what data demonstrates will work. Policy decisions are made without rigorous evaluation of alternatives. The knowledge generated by implementation, the hard won lessons of what works, what fails, and why, is rarely captured, analysed, or shared in ways that influence the next programme or the next policy.</w:t>
      </w:r>
    </w:p>
    <w:p>
      <w:pPr>
        <w:spacing w:after="200" w:line="320"/>
      </w:pPr>
      <w:r>
        <w:rPr>
          <w:rFonts w:ascii="Georgia" w:cs="Georgia" w:eastAsia="Georgia" w:hAnsi="Georgia"/>
          <w:color w:val="1C1C1C"/>
          <w:sz w:val="22"/>
          <w:szCs w:val="22"/>
        </w:rPr>
        <w:t xml:space="preserve">The result is a cycle of repeated mistakes, duplicated efforts, and missed opportunities. Governments and development partners invest billions each year, yet systematic learning and adaptive management remain the exception rather than the norm. Communities deserve better. They deserve interventions grounded in evidence, policies informed by data, and institutions that learn and adapt.</w:t>
      </w:r>
    </w:p>
    <w:p>
      <w:pPr>
        <w:spacing w:after="160" w:before="360"/>
      </w:pPr>
      <w:r>
        <w:rPr>
          <w:rFonts w:ascii="Arial" w:cs="Arial" w:eastAsia="Arial" w:hAnsi="Arial"/>
          <w:b/>
          <w:bCs/>
          <w:color w:val="1B4F72"/>
          <w:sz w:val="28"/>
          <w:szCs w:val="28"/>
        </w:rPr>
        <w:t xml:space="preserve">Our Approach</w:t>
      </w:r>
    </w:p>
    <w:p>
      <w:pPr>
        <w:spacing w:after="200" w:line="320"/>
      </w:pPr>
      <w:r>
        <w:rPr>
          <w:rFonts w:ascii="Georgia" w:cs="Georgia" w:eastAsia="Georgia" w:hAnsi="Georgia"/>
          <w:color w:val="1C1C1C"/>
          <w:sz w:val="22"/>
          <w:szCs w:val="22"/>
        </w:rPr>
        <w:t xml:space="preserve">Zomujo Foundation embeds research, data, and evidence generation into every programme we operate, and shares that knowledge publicly to strengthen the broader development ecosystem. We are not an academic institution. We are practitioners who believe that rigorous evidence makes practice better, and that practice generates the most valuable evidence.</w:t>
      </w:r>
    </w:p>
    <w:p>
      <w:pPr>
        <w:spacing w:after="200" w:line="320"/>
      </w:pPr>
      <w:r>
        <w:rPr>
          <w:rFonts w:ascii="Georgia" w:cs="Georgia" w:eastAsia="Georgia" w:hAnsi="Georgia"/>
          <w:color w:val="1C1C1C"/>
          <w:sz w:val="22"/>
          <w:szCs w:val="22"/>
        </w:rPr>
        <w:t xml:space="preserve">Our research and data work serves two functions: it improves the effectiveness of our own programmes through continuous learning and adaptation, and it contributes to the global evidence base that informs development policy and investment.</w:t>
      </w:r>
    </w:p>
    <w:p>
      <w:pPr>
        <w:spacing w:after="160" w:before="360"/>
      </w:pPr>
      <w:r>
        <w:rPr>
          <w:rFonts w:ascii="Arial" w:cs="Arial" w:eastAsia="Arial" w:hAnsi="Arial"/>
          <w:b/>
          <w:bCs/>
          <w:color w:val="1B4F72"/>
          <w:sz w:val="28"/>
          <w:szCs w:val="28"/>
        </w:rPr>
        <w:t xml:space="preserve">Key Programme Areas</w:t>
      </w:r>
    </w:p>
    <w:p>
      <w:pPr>
        <w:spacing w:after="200" w:line="320"/>
      </w:pPr>
      <w:r>
        <w:rPr>
          <w:rFonts w:ascii="Georgia" w:cs="Georgia" w:eastAsia="Georgia" w:hAnsi="Georgia"/>
          <w:b/>
          <w:bCs/>
          <w:color w:val="1C1C1C"/>
          <w:sz w:val="22"/>
          <w:szCs w:val="22"/>
        </w:rPr>
        <w:t xml:space="preserve">Implementation Research: </w:t>
      </w:r>
      <w:r>
        <w:rPr>
          <w:rFonts w:ascii="Georgia" w:cs="Georgia" w:eastAsia="Georgia" w:hAnsi="Georgia"/>
          <w:color w:val="1C1C1C"/>
          <w:sz w:val="22"/>
          <w:szCs w:val="22"/>
        </w:rPr>
        <w:t xml:space="preserve">Rigorous evaluation of our own programmes and those of our partners, using randomised controlled trials, quasi experimental methods, and mixed methods approaches to determine what works, for whom, under what conditions, and at what cost. We prioritise research questions that emerge from implementation, not from academic agendas.</w:t>
      </w:r>
    </w:p>
    <w:p>
      <w:pPr>
        <w:spacing w:after="200" w:line="320"/>
      </w:pPr>
      <w:r>
        <w:rPr>
          <w:rFonts w:ascii="Georgia" w:cs="Georgia" w:eastAsia="Georgia" w:hAnsi="Georgia"/>
          <w:b/>
          <w:bCs/>
          <w:color w:val="1C1C1C"/>
          <w:sz w:val="22"/>
          <w:szCs w:val="22"/>
        </w:rPr>
        <w:t xml:space="preserve">Data Systems and Analytics: </w:t>
      </w:r>
      <w:r>
        <w:rPr>
          <w:rFonts w:ascii="Georgia" w:cs="Georgia" w:eastAsia="Georgia" w:hAnsi="Georgia"/>
          <w:color w:val="1C1C1C"/>
          <w:sz w:val="22"/>
          <w:szCs w:val="22"/>
        </w:rPr>
        <w:t xml:space="preserve">Building data collection, management, and analytics infrastructure for development organisations, government agencies, and community institutions. Supporting the transition from paper based to digital data systems. Developing dashboards, decision support tools, and data visualisation platforms.</w:t>
      </w:r>
    </w:p>
    <w:p>
      <w:pPr>
        <w:spacing w:after="200" w:line="320"/>
      </w:pPr>
      <w:r>
        <w:rPr>
          <w:rFonts w:ascii="Georgia" w:cs="Georgia" w:eastAsia="Georgia" w:hAnsi="Georgia"/>
          <w:b/>
          <w:bCs/>
          <w:color w:val="1C1C1C"/>
          <w:sz w:val="22"/>
          <w:szCs w:val="22"/>
        </w:rPr>
        <w:t xml:space="preserve">Policy Analysis and Advocacy: </w:t>
      </w:r>
      <w:r>
        <w:rPr>
          <w:rFonts w:ascii="Georgia" w:cs="Georgia" w:eastAsia="Georgia" w:hAnsi="Georgia"/>
          <w:color w:val="1C1C1C"/>
          <w:sz w:val="22"/>
          <w:szCs w:val="22"/>
        </w:rPr>
        <w:t xml:space="preserve">Translating evidence into actionable policy recommendations. Engaging with policymakers, legislators, and government agencies to inform the design of public programmes, regulations, and budgets. Publishing policy briefs, convening policy dialogues, and contributing to national and regional policy processes.</w:t>
      </w:r>
    </w:p>
    <w:p>
      <w:pPr>
        <w:spacing w:after="200" w:line="320"/>
      </w:pPr>
      <w:r>
        <w:rPr>
          <w:rFonts w:ascii="Georgia" w:cs="Georgia" w:eastAsia="Georgia" w:hAnsi="Georgia"/>
          <w:b/>
          <w:bCs/>
          <w:color w:val="1C1C1C"/>
          <w:sz w:val="22"/>
          <w:szCs w:val="22"/>
        </w:rPr>
        <w:t xml:space="preserve">Knowledge Management and Dissemination: </w:t>
      </w:r>
      <w:r>
        <w:rPr>
          <w:rFonts w:ascii="Georgia" w:cs="Georgia" w:eastAsia="Georgia" w:hAnsi="Georgia"/>
          <w:color w:val="1C1C1C"/>
          <w:sz w:val="22"/>
          <w:szCs w:val="22"/>
        </w:rPr>
        <w:t xml:space="preserve">Capturing, documenting, and sharing the knowledge generated by our work and the work of our partners. Publishing research reports, case studies, toolkits, and open access datasets. Contributing to academic journals and international conferences.</w:t>
      </w:r>
    </w:p>
    <w:p>
      <w:pPr>
        <w:spacing w:after="200" w:line="320"/>
      </w:pPr>
      <w:r>
        <w:rPr>
          <w:rFonts w:ascii="Georgia" w:cs="Georgia" w:eastAsia="Georgia" w:hAnsi="Georgia"/>
          <w:b/>
          <w:bCs/>
          <w:color w:val="1C1C1C"/>
          <w:sz w:val="22"/>
          <w:szCs w:val="22"/>
        </w:rPr>
        <w:t xml:space="preserve">Capacity Building for Evidence Use: </w:t>
      </w:r>
      <w:r>
        <w:rPr>
          <w:rFonts w:ascii="Georgia" w:cs="Georgia" w:eastAsia="Georgia" w:hAnsi="Georgia"/>
          <w:color w:val="1C1C1C"/>
          <w:sz w:val="22"/>
          <w:szCs w:val="22"/>
        </w:rPr>
        <w:t xml:space="preserve">Training programme managers, government officials, and civil society leaders to commission, interpret, and use evidence in decision making. Building a culture of evidence informed practice across the development sector in Ghana and the wider region.</w:t>
      </w:r>
    </w:p>
    <w:p>
      <w:pPr>
        <w:spacing w:after="160" w:before="360"/>
      </w:pPr>
      <w:r>
        <w:rPr>
          <w:rFonts w:ascii="Arial" w:cs="Arial" w:eastAsia="Arial" w:hAnsi="Arial"/>
          <w:b/>
          <w:bCs/>
          <w:color w:val="1B4F72"/>
          <w:sz w:val="28"/>
          <w:szCs w:val="28"/>
        </w:rPr>
        <w:t xml:space="preserve">Principles</w:t>
      </w:r>
    </w:p>
    <w:p>
      <w:pPr>
        <w:spacing w:after="200" w:line="320"/>
      </w:pPr>
      <w:r>
        <w:rPr>
          <w:rFonts w:ascii="Georgia" w:cs="Georgia" w:eastAsia="Georgia" w:hAnsi="Georgia"/>
          <w:b/>
          <w:bCs/>
          <w:color w:val="1C1C1C"/>
          <w:sz w:val="22"/>
          <w:szCs w:val="22"/>
        </w:rPr>
        <w:t xml:space="preserve">Rigour without rigidity: </w:t>
      </w:r>
      <w:r>
        <w:rPr>
          <w:rFonts w:ascii="Georgia" w:cs="Georgia" w:eastAsia="Georgia" w:hAnsi="Georgia"/>
          <w:color w:val="1C1C1C"/>
          <w:sz w:val="22"/>
          <w:szCs w:val="22"/>
        </w:rPr>
        <w:t xml:space="preserve">We use the most appropriate methodology for the question at hand, not the most fashionable. Rigorous does not always mean randomised. The method must fit the question, the context, and the resources available.</w:t>
      </w:r>
    </w:p>
    <w:p>
      <w:pPr>
        <w:spacing w:after="200" w:line="320"/>
      </w:pPr>
      <w:r>
        <w:rPr>
          <w:rFonts w:ascii="Georgia" w:cs="Georgia" w:eastAsia="Georgia" w:hAnsi="Georgia"/>
          <w:b/>
          <w:bCs/>
          <w:color w:val="1C1C1C"/>
          <w:sz w:val="22"/>
          <w:szCs w:val="22"/>
        </w:rPr>
        <w:t xml:space="preserve">Practitioner led: </w:t>
      </w:r>
      <w:r>
        <w:rPr>
          <w:rFonts w:ascii="Georgia" w:cs="Georgia" w:eastAsia="Georgia" w:hAnsi="Georgia"/>
          <w:color w:val="1C1C1C"/>
          <w:sz w:val="22"/>
          <w:szCs w:val="22"/>
        </w:rPr>
        <w:t xml:space="preserve">Our research agenda is driven by implementation questions, not academic incentives. We study what practitioners and policymakers need to know to make better decisions.</w:t>
      </w:r>
    </w:p>
    <w:p>
      <w:pPr>
        <w:spacing w:after="200" w:line="320"/>
      </w:pPr>
      <w:r>
        <w:rPr>
          <w:rFonts w:ascii="Georgia" w:cs="Georgia" w:eastAsia="Georgia" w:hAnsi="Georgia"/>
          <w:b/>
          <w:bCs/>
          <w:color w:val="1C1C1C"/>
          <w:sz w:val="22"/>
          <w:szCs w:val="22"/>
        </w:rPr>
        <w:t xml:space="preserve">Open and accessible: </w:t>
      </w:r>
      <w:r>
        <w:rPr>
          <w:rFonts w:ascii="Georgia" w:cs="Georgia" w:eastAsia="Georgia" w:hAnsi="Georgia"/>
          <w:color w:val="1C1C1C"/>
          <w:sz w:val="22"/>
          <w:szCs w:val="22"/>
        </w:rPr>
        <w:t xml:space="preserve">Our findings, data, and tools are published openly. Knowledge is a public good, and we believe that evidence shared is evidence multiplied.</w:t>
      </w:r>
    </w:p>
    <w:p>
      <w:pPr>
        <w:spacing w:after="200" w:line="320"/>
      </w:pPr>
      <w:r>
        <w:rPr>
          <w:rFonts w:ascii="Georgia" w:cs="Georgia" w:eastAsia="Georgia" w:hAnsi="Georgia"/>
          <w:b/>
          <w:bCs/>
          <w:color w:val="1C1C1C"/>
          <w:sz w:val="22"/>
          <w:szCs w:val="22"/>
        </w:rPr>
        <w:t xml:space="preserve">Ethical and community centred: </w:t>
      </w:r>
      <w:r>
        <w:rPr>
          <w:rFonts w:ascii="Georgia" w:cs="Georgia" w:eastAsia="Georgia" w:hAnsi="Georgia"/>
          <w:color w:val="1C1C1C"/>
          <w:sz w:val="22"/>
          <w:szCs w:val="22"/>
        </w:rPr>
        <w:t xml:space="preserve">All research is conducted with informed consent, community oversight, and a commitment to returning findings to the communities that generated them. We adhere to the highest international standards for research ethics.</w:t>
      </w:r>
    </w:p>
    <w:p>
      <w:pPr>
        <w:spacing w:after="160" w:before="360"/>
      </w:pPr>
      <w:r>
        <w:rPr>
          <w:rFonts w:ascii="Arial" w:cs="Arial" w:eastAsia="Arial" w:hAnsi="Arial"/>
          <w:b/>
          <w:bCs/>
          <w:color w:val="1B4F72"/>
          <w:sz w:val="28"/>
          <w:szCs w:val="28"/>
        </w:rPr>
        <w:t xml:space="preserve">SDG Alignment</w:t>
      </w:r>
    </w:p>
    <w:p>
      <w:pPr>
        <w:spacing w:after="200" w:line="320"/>
      </w:pPr>
      <w:r>
        <w:rPr>
          <w:rFonts w:ascii="Georgia" w:cs="Georgia" w:eastAsia="Georgia" w:hAnsi="Georgia"/>
          <w:color w:val="1C1C1C"/>
          <w:sz w:val="22"/>
          <w:szCs w:val="22"/>
        </w:rPr>
        <w:t xml:space="preserve">This pillar contributes directly to SDG 16 (Peace, Justice, and Strong Institutions) and SDG 17 (Partnerships for the Goals), with secondary contributions across all SDGs through the generation and dissemination of evidence that improves development practice.</w:t>
      </w:r>
    </w:p>
    <w:p>
      <w:pPr>
        <w:spacing w:after="160" w:before="360"/>
      </w:pPr>
      <w:r>
        <w:rPr>
          <w:rFonts w:ascii="Arial" w:cs="Arial" w:eastAsia="Arial" w:hAnsi="Arial"/>
          <w:b/>
          <w:bCs/>
          <w:color w:val="1B4F72"/>
          <w:sz w:val="28"/>
          <w:szCs w:val="28"/>
        </w:rPr>
        <w:t xml:space="preserve">Impact Goals</w:t>
      </w:r>
    </w:p>
    <w:p>
      <w:pPr>
        <w:spacing w:after="200" w:line="320"/>
      </w:pPr>
      <w:r>
        <w:rPr>
          <w:rFonts w:ascii="Georgia" w:cs="Georgia" w:eastAsia="Georgia" w:hAnsi="Georgia"/>
          <w:b/>
          <w:bCs/>
          <w:color w:val="1C1C1C"/>
          <w:sz w:val="22"/>
          <w:szCs w:val="22"/>
        </w:rPr>
        <w:t xml:space="preserve">Primary Outcome Metrics: </w:t>
      </w:r>
      <w:r>
        <w:rPr>
          <w:rFonts w:ascii="Georgia" w:cs="Georgia" w:eastAsia="Georgia" w:hAnsi="Georgia"/>
          <w:color w:val="1C1C1C"/>
          <w:sz w:val="22"/>
          <w:szCs w:val="22"/>
        </w:rPr>
        <w:t xml:space="preserve">Number of policy changes informed by Zomujo generated evidence. Number of peer reviewed publications and policy briefs produced. Number of organisations using Zomujo developed data tools and platforms. Open datasets published and their documented usage. Number of government officials and programme managers trained in evidence use.</w:t>
      </w:r>
    </w:p>
    <w:p>
      <w:r>
        <w:br w:type="page"/>
      </w:r>
    </w:p>
    <w:p>
      <w:pPr>
        <w:spacing w:after="60" w:before="100"/>
      </w:pPr>
      <w:r>
        <w:rPr>
          <w:rFonts w:ascii="Arial" w:cs="Arial" w:eastAsia="Arial" w:hAnsi="Arial"/>
          <w:b/>
          <w:bCs/>
          <w:color w:val="2E86C1"/>
          <w:spacing w:val="80"/>
          <w:sz w:val="18"/>
          <w:szCs w:val="18"/>
        </w:rPr>
        <w:t xml:space="preserve">PAGE 10</w:t>
      </w:r>
    </w:p>
    <w:p>
      <w:pPr>
        <w:spacing w:after="200" w:before="480"/>
      </w:pPr>
      <w:r>
        <w:rPr>
          <w:rFonts w:ascii="Arial" w:cs="Arial" w:eastAsia="Arial" w:hAnsi="Arial"/>
          <w:b/>
          <w:bCs/>
          <w:color w:val="1B4F72"/>
          <w:sz w:val="36"/>
          <w:szCs w:val="36"/>
        </w:rPr>
        <w:t xml:space="preserve">Partner With Us</w:t>
      </w:r>
    </w:p>
    <w:p>
      <w:pPr>
        <w:spacing w:after="300" w:before="80"/>
      </w:pPr>
      <w:r>
        <w:rPr>
          <w:rFonts w:ascii="Georgia" w:cs="Georgia" w:eastAsia="Georgia" w:hAnsi="Georgia"/>
          <w:i/>
          <w:iCs/>
          <w:color w:val="2E86C1"/>
          <w:sz w:val="24"/>
          <w:szCs w:val="24"/>
        </w:rPr>
        <w:t xml:space="preserve">The challenges we address are too large for any single organisation. Here is how you can be part of the solution.</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For Funders and Development Partners</w:t>
      </w:r>
    </w:p>
    <w:p>
      <w:pPr>
        <w:spacing w:after="200" w:line="320"/>
      </w:pPr>
      <w:r>
        <w:rPr>
          <w:rFonts w:ascii="Georgia" w:cs="Georgia" w:eastAsia="Georgia" w:hAnsi="Georgia"/>
          <w:color w:val="1C1C1C"/>
          <w:sz w:val="22"/>
          <w:szCs w:val="22"/>
        </w:rPr>
        <w:t xml:space="preserve">Zomujo Foundation welcomes partnerships with bilateral and multilateral development agencies, private foundations, corporate social responsibility programmes, impact investors, and individual donors. We offer rigorous programme design, transparent financial management, independent evaluation, and a track record of delivering measurable outcomes aligned with national and global development priorities.</w:t>
      </w:r>
    </w:p>
    <w:p>
      <w:pPr>
        <w:spacing w:after="200" w:line="320"/>
      </w:pPr>
      <w:r>
        <w:rPr>
          <w:rFonts w:ascii="Georgia" w:cs="Georgia" w:eastAsia="Georgia" w:hAnsi="Georgia"/>
          <w:color w:val="1C1C1C"/>
          <w:sz w:val="22"/>
          <w:szCs w:val="22"/>
        </w:rPr>
        <w:t xml:space="preserve">We are structured to receive and manage project specific grants, core institutional funding, co investment models, and blended finance arrangements. Every investment in Zomujo builds systems that outlast the funding cycle and creates infrastructure that strengthens the effectiveness of other development investments in the same communities.</w:t>
      </w:r>
    </w:p>
    <w:p>
      <w:pPr>
        <w:spacing w:after="200" w:line="320"/>
      </w:pPr>
      <w:r>
        <w:rPr>
          <w:rFonts w:ascii="Georgia" w:cs="Georgia" w:eastAsia="Georgia" w:hAnsi="Georgia"/>
          <w:color w:val="1C1C1C"/>
          <w:sz w:val="22"/>
          <w:szCs w:val="22"/>
        </w:rPr>
        <w:t xml:space="preserve">We have experience working within the reporting, compliance, and fiduciary frameworks of major bilateral and multilateral agencies, and we welcome due diligence as part of the partnership process.</w:t>
      </w:r>
    </w:p>
    <w:p>
      <w:pPr>
        <w:spacing w:after="200" w:line="320"/>
      </w:pPr>
      <w:r>
        <w:rPr>
          <w:rFonts w:ascii="Georgia" w:cs="Georgia" w:eastAsia="Georgia" w:hAnsi="Georgia"/>
          <w:b/>
          <w:bCs/>
          <w:color w:val="1C1C1C"/>
          <w:sz w:val="22"/>
          <w:szCs w:val="22"/>
        </w:rPr>
        <w:t xml:space="preserve">Contact: </w:t>
      </w:r>
      <w:r>
        <w:rPr>
          <w:rFonts w:ascii="Georgia" w:cs="Georgia" w:eastAsia="Georgia" w:hAnsi="Georgia"/>
          <w:color w:val="1C1C1C"/>
          <w:sz w:val="22"/>
          <w:szCs w:val="22"/>
        </w:rPr>
        <w:t xml:space="preserve">partnerships@zomujofoundation.org</w:t>
      </w:r>
    </w:p>
    <w:p>
      <w:pPr>
        <w:spacing w:after="160" w:before="360"/>
      </w:pPr>
      <w:r>
        <w:rPr>
          <w:rFonts w:ascii="Arial" w:cs="Arial" w:eastAsia="Arial" w:hAnsi="Arial"/>
          <w:b/>
          <w:bCs/>
          <w:color w:val="1B4F72"/>
          <w:sz w:val="28"/>
          <w:szCs w:val="28"/>
        </w:rPr>
        <w:t xml:space="preserve">For Government and Institutional Partners</w:t>
      </w:r>
    </w:p>
    <w:p>
      <w:pPr>
        <w:spacing w:after="200" w:line="320"/>
      </w:pPr>
      <w:r>
        <w:rPr>
          <w:rFonts w:ascii="Georgia" w:cs="Georgia" w:eastAsia="Georgia" w:hAnsi="Georgia"/>
          <w:color w:val="1C1C1C"/>
          <w:sz w:val="22"/>
          <w:szCs w:val="22"/>
        </w:rPr>
        <w:t xml:space="preserve">We work with government agencies at national, regional, and district levels, providing technical assistance, technology solutions, capacity building, and implementation support. Our work is explicitly designed to strengthen public systems and build government capacity, not to operate in parallel or create dependency.</w:t>
      </w:r>
    </w:p>
    <w:p>
      <w:pPr>
        <w:spacing w:after="200" w:line="320"/>
      </w:pPr>
      <w:r>
        <w:rPr>
          <w:rFonts w:ascii="Georgia" w:cs="Georgia" w:eastAsia="Georgia" w:hAnsi="Georgia"/>
          <w:color w:val="1C1C1C"/>
          <w:sz w:val="22"/>
          <w:szCs w:val="22"/>
        </w:rPr>
        <w:t xml:space="preserve">We welcome partnerships with ministries of health, education, social protection, environment, and local government, as well as with district and regional assemblies, statutory agencies, and national institutions. We can serve as implementing partners, technical advisors, or technology providers depending on the nature and scale of the engagement.</w:t>
      </w:r>
    </w:p>
    <w:p>
      <w:pPr>
        <w:spacing w:after="160" w:before="360"/>
      </w:pPr>
      <w:r>
        <w:rPr>
          <w:rFonts w:ascii="Arial" w:cs="Arial" w:eastAsia="Arial" w:hAnsi="Arial"/>
          <w:b/>
          <w:bCs/>
          <w:color w:val="1B4F72"/>
          <w:sz w:val="28"/>
          <w:szCs w:val="28"/>
        </w:rPr>
        <w:t xml:space="preserve">For Technology and Private Sector Partners</w:t>
      </w:r>
    </w:p>
    <w:p>
      <w:pPr>
        <w:spacing w:after="200" w:line="320"/>
      </w:pPr>
      <w:r>
        <w:rPr>
          <w:rFonts w:ascii="Georgia" w:cs="Georgia" w:eastAsia="Georgia" w:hAnsi="Georgia"/>
          <w:color w:val="1C1C1C"/>
          <w:sz w:val="22"/>
          <w:szCs w:val="22"/>
        </w:rPr>
        <w:t xml:space="preserve">We partner with technology companies, telecommunications providers, financial institutions, and private enterprises that share our commitment to inclusive development. Partnership models include pro bono technology support, co development of digital tools, corporate volunteering, employee giving programmes, skills based secondments, and strategic corporate social responsibility alignment.</w:t>
      </w:r>
    </w:p>
    <w:p>
      <w:pPr>
        <w:spacing w:after="200" w:line="320"/>
      </w:pPr>
      <w:r>
        <w:rPr>
          <w:rFonts w:ascii="Georgia" w:cs="Georgia" w:eastAsia="Georgia" w:hAnsi="Georgia"/>
          <w:color w:val="1C1C1C"/>
          <w:sz w:val="22"/>
          <w:szCs w:val="22"/>
        </w:rPr>
        <w:t xml:space="preserve">We are particularly interested in partnerships that bring private sector expertise in technology, data, logistics, and market systems to bear on development challenges.</w:t>
      </w:r>
    </w:p>
    <w:p>
      <w:pPr>
        <w:spacing w:after="160" w:before="360"/>
      </w:pPr>
      <w:r>
        <w:rPr>
          <w:rFonts w:ascii="Arial" w:cs="Arial" w:eastAsia="Arial" w:hAnsi="Arial"/>
          <w:b/>
          <w:bCs/>
          <w:color w:val="1B4F72"/>
          <w:sz w:val="28"/>
          <w:szCs w:val="28"/>
        </w:rPr>
        <w:t xml:space="preserve">For Researchers and Academic Institutions</w:t>
      </w:r>
    </w:p>
    <w:p>
      <w:pPr>
        <w:spacing w:after="200" w:line="320"/>
      </w:pPr>
      <w:r>
        <w:rPr>
          <w:rFonts w:ascii="Georgia" w:cs="Georgia" w:eastAsia="Georgia" w:hAnsi="Georgia"/>
          <w:color w:val="1C1C1C"/>
          <w:sz w:val="22"/>
          <w:szCs w:val="22"/>
        </w:rPr>
        <w:t xml:space="preserve">We collaborate with universities, research institutes, and think tanks on implementation research, programme evaluation, and knowledge generation. We offer access to programme data, field implementation sites, and practitioner networks. We welcome joint publications, doctoral and postdoctoral placements, and collaborative research proposals.</w:t>
      </w:r>
    </w:p>
    <w:p>
      <w:pPr>
        <w:spacing w:after="200" w:line="320"/>
      </w:pPr>
      <w:r>
        <w:rPr>
          <w:rFonts w:ascii="Georgia" w:cs="Georgia" w:eastAsia="Georgia" w:hAnsi="Georgia"/>
          <w:color w:val="1C1C1C"/>
          <w:sz w:val="22"/>
          <w:szCs w:val="22"/>
        </w:rPr>
        <w:t xml:space="preserve">Our research partnerships are governed by clear data sharing agreements, ethical review protocols, and a commitment to community ownership of findings.</w:t>
      </w:r>
    </w:p>
    <w:p>
      <w:pPr>
        <w:spacing w:after="160" w:before="360"/>
      </w:pPr>
      <w:r>
        <w:rPr>
          <w:rFonts w:ascii="Arial" w:cs="Arial" w:eastAsia="Arial" w:hAnsi="Arial"/>
          <w:b/>
          <w:bCs/>
          <w:color w:val="1B4F72"/>
          <w:sz w:val="28"/>
          <w:szCs w:val="28"/>
        </w:rPr>
        <w:t xml:space="preserve">For Communities and Civil Society</w:t>
      </w:r>
    </w:p>
    <w:p>
      <w:pPr>
        <w:spacing w:after="200" w:line="320"/>
      </w:pPr>
      <w:r>
        <w:rPr>
          <w:rFonts w:ascii="Georgia" w:cs="Georgia" w:eastAsia="Georgia" w:hAnsi="Georgia"/>
          <w:color w:val="1C1C1C"/>
          <w:sz w:val="22"/>
          <w:szCs w:val="22"/>
        </w:rPr>
        <w:t xml:space="preserve">We work with community based organisations, faith based groups, traditional authorities, and civil society networks as implementation partners. If your community faces challenges in health, education, livelihoods, digital access, or climate resilience, and you believe a systems approach could help, we want to hear from you.</w:t>
      </w:r>
    </w:p>
    <w:p>
      <w:pPr>
        <w:spacing w:after="200" w:line="320"/>
      </w:pPr>
      <w:r>
        <w:rPr>
          <w:rFonts w:ascii="Georgia" w:cs="Georgia" w:eastAsia="Georgia" w:hAnsi="Georgia"/>
          <w:color w:val="1C1C1C"/>
          <w:sz w:val="22"/>
          <w:szCs w:val="22"/>
        </w:rPr>
        <w:t xml:space="preserve">Community partnership is not a secondary track. It is the foundation of our model. Every programme begins with community engagement, and every system we build is designed for community ownership.</w:t>
      </w:r>
    </w:p>
    <w:p>
      <w:pPr>
        <w:spacing w:after="160" w:before="360"/>
      </w:pPr>
      <w:r>
        <w:rPr>
          <w:rFonts w:ascii="Arial" w:cs="Arial" w:eastAsia="Arial" w:hAnsi="Arial"/>
          <w:b/>
          <w:bCs/>
          <w:color w:val="1B4F72"/>
          <w:sz w:val="28"/>
          <w:szCs w:val="28"/>
        </w:rPr>
        <w:t xml:space="preserve">Careers and Opportunities</w:t>
      </w:r>
    </w:p>
    <w:p>
      <w:pPr>
        <w:spacing w:after="200" w:line="320"/>
      </w:pPr>
      <w:r>
        <w:rPr>
          <w:rFonts w:ascii="Georgia" w:cs="Georgia" w:eastAsia="Georgia" w:hAnsi="Georgia"/>
          <w:color w:val="1C1C1C"/>
          <w:sz w:val="22"/>
          <w:szCs w:val="22"/>
        </w:rPr>
        <w:t xml:space="preserve">Zomujo Foundation is always looking for talented, mission driven individuals. We recruit across programme management, technology and engineering, research and evaluation, finance and administration, communications, and community engagement. We also offer structured fellowship, internship, and volunteer opportunities for professionals and students who want to contribute their skills to meaningful work.</w:t>
      </w:r>
    </w:p>
    <w:p>
      <w:pPr>
        <w:spacing w:after="200" w:line="320"/>
      </w:pPr>
      <w:r>
        <w:rPr>
          <w:rFonts w:ascii="Georgia" w:cs="Georgia" w:eastAsia="Georgia" w:hAnsi="Georgia"/>
          <w:b/>
          <w:bCs/>
          <w:color w:val="1C1C1C"/>
          <w:sz w:val="22"/>
          <w:szCs w:val="22"/>
        </w:rPr>
        <w:t xml:space="preserve">Explore opportunities: </w:t>
      </w:r>
      <w:r>
        <w:rPr>
          <w:rFonts w:ascii="Georgia" w:cs="Georgia" w:eastAsia="Georgia" w:hAnsi="Georgia"/>
          <w:color w:val="1C1C1C"/>
          <w:sz w:val="22"/>
          <w:szCs w:val="22"/>
        </w:rPr>
        <w:t xml:space="preserve">careers@zomujofoundation.org</w:t>
      </w:r>
    </w:p>
    <w:p>
      <w:r>
        <w:br w:type="page"/>
      </w:r>
    </w:p>
    <w:p>
      <w:pPr>
        <w:spacing w:after="60" w:before="100"/>
      </w:pPr>
      <w:r>
        <w:rPr>
          <w:rFonts w:ascii="Arial" w:cs="Arial" w:eastAsia="Arial" w:hAnsi="Arial"/>
          <w:b/>
          <w:bCs/>
          <w:color w:val="2E86C1"/>
          <w:spacing w:val="80"/>
          <w:sz w:val="18"/>
          <w:szCs w:val="18"/>
        </w:rPr>
        <w:t xml:space="preserve">PAGE 11</w:t>
      </w:r>
    </w:p>
    <w:p>
      <w:pPr>
        <w:spacing w:after="200" w:before="480"/>
      </w:pPr>
      <w:r>
        <w:rPr>
          <w:rFonts w:ascii="Arial" w:cs="Arial" w:eastAsia="Arial" w:hAnsi="Arial"/>
          <w:b/>
          <w:bCs/>
          <w:color w:val="1B4F72"/>
          <w:sz w:val="36"/>
          <w:szCs w:val="36"/>
        </w:rPr>
        <w:t xml:space="preserve">Contact Us</w:t>
      </w:r>
    </w:p>
    <w:p>
      <w:pPr>
        <w:pBdr>
          <w:bottom w:val="single" w:color="CCCCCC" w:sz="2" w:space="1"/>
        </w:pBdr>
        <w:spacing w:after="300" w:before="300"/>
      </w:pPr>
      <w:r>
        <w:rPr>
          <w:sz w:val="2"/>
          <w:szCs w:val="2"/>
        </w:rPr>
        <w:t xml:space="preserve"/>
      </w:r>
    </w:p>
    <w:p>
      <w:pPr>
        <w:spacing w:after="160" w:before="360"/>
      </w:pPr>
      <w:r>
        <w:rPr>
          <w:rFonts w:ascii="Arial" w:cs="Arial" w:eastAsia="Arial" w:hAnsi="Arial"/>
          <w:b/>
          <w:bCs/>
          <w:color w:val="1B4F72"/>
          <w:sz w:val="28"/>
          <w:szCs w:val="28"/>
        </w:rPr>
        <w:t xml:space="preserve">General Enquiries</w:t>
      </w:r>
    </w:p>
    <w:p>
      <w:pPr>
        <w:spacing w:after="200" w:line="320"/>
      </w:pPr>
      <w:r>
        <w:rPr>
          <w:rFonts w:ascii="Georgia" w:cs="Georgia" w:eastAsia="Georgia" w:hAnsi="Georgia"/>
          <w:b/>
          <w:bCs/>
          <w:color w:val="1C1C1C"/>
          <w:sz w:val="22"/>
          <w:szCs w:val="22"/>
        </w:rPr>
        <w:t xml:space="preserve">Email: </w:t>
      </w:r>
      <w:r>
        <w:rPr>
          <w:rFonts w:ascii="Georgia" w:cs="Georgia" w:eastAsia="Georgia" w:hAnsi="Georgia"/>
          <w:color w:val="1C1C1C"/>
          <w:sz w:val="22"/>
          <w:szCs w:val="22"/>
        </w:rPr>
        <w:t xml:space="preserve">info@zomujofoundation.org</w:t>
      </w:r>
    </w:p>
    <w:p>
      <w:pPr>
        <w:spacing w:after="200" w:line="320"/>
      </w:pPr>
      <w:r>
        <w:rPr>
          <w:rFonts w:ascii="Georgia" w:cs="Georgia" w:eastAsia="Georgia" w:hAnsi="Georgia"/>
          <w:b/>
          <w:bCs/>
          <w:color w:val="1C1C1C"/>
          <w:sz w:val="22"/>
          <w:szCs w:val="22"/>
        </w:rPr>
        <w:t xml:space="preserve">Phone: </w:t>
      </w:r>
      <w:r>
        <w:rPr>
          <w:rFonts w:ascii="Georgia" w:cs="Georgia" w:eastAsia="Georgia" w:hAnsi="Georgia"/>
          <w:color w:val="1C1C1C"/>
          <w:sz w:val="22"/>
          <w:szCs w:val="22"/>
        </w:rPr>
        <w:t xml:space="preserve">[+233 XX XXX XXXX]</w:t>
      </w:r>
    </w:p>
    <w:p>
      <w:pPr>
        <w:spacing w:after="160" w:before="360"/>
      </w:pPr>
      <w:r>
        <w:rPr>
          <w:rFonts w:ascii="Arial" w:cs="Arial" w:eastAsia="Arial" w:hAnsi="Arial"/>
          <w:b/>
          <w:bCs/>
          <w:color w:val="1B4F72"/>
          <w:sz w:val="28"/>
          <w:szCs w:val="28"/>
        </w:rPr>
        <w:t xml:space="preserve">Partnerships and Funding</w:t>
      </w:r>
    </w:p>
    <w:p>
      <w:pPr>
        <w:spacing w:after="200" w:line="320"/>
      </w:pPr>
      <w:r>
        <w:rPr>
          <w:rFonts w:ascii="Georgia" w:cs="Georgia" w:eastAsia="Georgia" w:hAnsi="Georgia"/>
          <w:b/>
          <w:bCs/>
          <w:color w:val="1C1C1C"/>
          <w:sz w:val="22"/>
          <w:szCs w:val="22"/>
        </w:rPr>
        <w:t xml:space="preserve">Email: </w:t>
      </w:r>
      <w:r>
        <w:rPr>
          <w:rFonts w:ascii="Georgia" w:cs="Georgia" w:eastAsia="Georgia" w:hAnsi="Georgia"/>
          <w:color w:val="1C1C1C"/>
          <w:sz w:val="22"/>
          <w:szCs w:val="22"/>
        </w:rPr>
        <w:t xml:space="preserve">partnerships@zomujofoundation.org</w:t>
      </w:r>
    </w:p>
    <w:p>
      <w:pPr>
        <w:spacing w:after="160" w:before="360"/>
      </w:pPr>
      <w:r>
        <w:rPr>
          <w:rFonts w:ascii="Arial" w:cs="Arial" w:eastAsia="Arial" w:hAnsi="Arial"/>
          <w:b/>
          <w:bCs/>
          <w:color w:val="1B4F72"/>
          <w:sz w:val="28"/>
          <w:szCs w:val="28"/>
        </w:rPr>
        <w:t xml:space="preserve">Media and Communications</w:t>
      </w:r>
    </w:p>
    <w:p>
      <w:pPr>
        <w:spacing w:after="200" w:line="320"/>
      </w:pPr>
      <w:r>
        <w:rPr>
          <w:rFonts w:ascii="Georgia" w:cs="Georgia" w:eastAsia="Georgia" w:hAnsi="Georgia"/>
          <w:b/>
          <w:bCs/>
          <w:color w:val="1C1C1C"/>
          <w:sz w:val="22"/>
          <w:szCs w:val="22"/>
        </w:rPr>
        <w:t xml:space="preserve">Email: </w:t>
      </w:r>
      <w:r>
        <w:rPr>
          <w:rFonts w:ascii="Georgia" w:cs="Georgia" w:eastAsia="Georgia" w:hAnsi="Georgia"/>
          <w:color w:val="1C1C1C"/>
          <w:sz w:val="22"/>
          <w:szCs w:val="22"/>
        </w:rPr>
        <w:t xml:space="preserve">media@zomujofoundation.org</w:t>
      </w:r>
    </w:p>
    <w:p>
      <w:pPr>
        <w:spacing w:after="160" w:before="360"/>
      </w:pPr>
      <w:r>
        <w:rPr>
          <w:rFonts w:ascii="Arial" w:cs="Arial" w:eastAsia="Arial" w:hAnsi="Arial"/>
          <w:b/>
          <w:bCs/>
          <w:color w:val="1B4F72"/>
          <w:sz w:val="28"/>
          <w:szCs w:val="28"/>
        </w:rPr>
        <w:t xml:space="preserve">Office</w:t>
      </w:r>
    </w:p>
    <w:p>
      <w:pPr>
        <w:spacing w:after="200" w:line="320"/>
      </w:pPr>
      <w:r>
        <w:rPr>
          <w:rFonts w:ascii="Georgia" w:cs="Georgia" w:eastAsia="Georgia" w:hAnsi="Georgia"/>
          <w:color w:val="1C1C1C"/>
          <w:sz w:val="22"/>
          <w:szCs w:val="22"/>
        </w:rPr>
        <w:t xml:space="preserve">[Physical address, Accra, Ghana]</w:t>
      </w:r>
    </w:p>
    <w:p>
      <w:pPr>
        <w:spacing w:after="200" w:line="320"/>
      </w:pPr>
      <w:r>
        <w:rPr>
          <w:rFonts w:ascii="Georgia" w:cs="Georgia" w:eastAsia="Georgia" w:hAnsi="Georgia"/>
          <w:color w:val="1C1C1C"/>
          <w:sz w:val="22"/>
          <w:szCs w:val="22"/>
        </w:rPr>
        <w:t xml:space="preserve">[Google Maps embed or link]</w:t>
      </w:r>
    </w:p>
    <w:p>
      <w:pPr>
        <w:spacing w:after="160" w:before="360"/>
      </w:pPr>
      <w:r>
        <w:rPr>
          <w:rFonts w:ascii="Arial" w:cs="Arial" w:eastAsia="Arial" w:hAnsi="Arial"/>
          <w:b/>
          <w:bCs/>
          <w:color w:val="1B4F72"/>
          <w:sz w:val="28"/>
          <w:szCs w:val="28"/>
        </w:rPr>
        <w:t xml:space="preserve">Connect With Us</w:t>
      </w:r>
    </w:p>
    <w:p>
      <w:pPr>
        <w:spacing w:after="200" w:line="320"/>
      </w:pPr>
      <w:r>
        <w:rPr>
          <w:rFonts w:ascii="Georgia" w:cs="Georgia" w:eastAsia="Georgia" w:hAnsi="Georgia"/>
          <w:color w:val="1C1C1C"/>
          <w:sz w:val="22"/>
          <w:szCs w:val="22"/>
        </w:rPr>
        <w:t xml:space="preserve">Twitter/X: @ZomujoFoundation</w:t>
      </w:r>
    </w:p>
    <w:p>
      <w:pPr>
        <w:spacing w:after="200" w:line="320"/>
      </w:pPr>
      <w:r>
        <w:rPr>
          <w:rFonts w:ascii="Georgia" w:cs="Georgia" w:eastAsia="Georgia" w:hAnsi="Georgia"/>
          <w:color w:val="1C1C1C"/>
          <w:sz w:val="22"/>
          <w:szCs w:val="22"/>
        </w:rPr>
        <w:t xml:space="preserve">LinkedIn: Zomujo Foundation</w:t>
      </w:r>
    </w:p>
    <w:p>
      <w:pPr>
        <w:spacing w:after="200" w:line="320"/>
      </w:pPr>
      <w:r>
        <w:rPr>
          <w:rFonts w:ascii="Georgia" w:cs="Georgia" w:eastAsia="Georgia" w:hAnsi="Georgia"/>
          <w:color w:val="1C1C1C"/>
          <w:sz w:val="22"/>
          <w:szCs w:val="22"/>
        </w:rPr>
        <w:t xml:space="preserve">Instagram: @zomujofoundation</w:t>
      </w:r>
    </w:p>
    <w:p>
      <w:pPr>
        <w:spacing w:after="200" w:line="320"/>
      </w:pPr>
      <w:r>
        <w:rPr>
          <w:rFonts w:ascii="Georgia" w:cs="Georgia" w:eastAsia="Georgia" w:hAnsi="Georgia"/>
          <w:color w:val="1C1C1C"/>
          <w:sz w:val="22"/>
          <w:szCs w:val="22"/>
        </w:rPr>
        <w:t xml:space="preserve">Facebook: Zomujo Foundation</w:t>
      </w:r>
    </w:p>
    <w:p>
      <w:pPr>
        <w:spacing w:after="160" w:before="360"/>
      </w:pPr>
      <w:r>
        <w:rPr>
          <w:rFonts w:ascii="Arial" w:cs="Arial" w:eastAsia="Arial" w:hAnsi="Arial"/>
          <w:b/>
          <w:bCs/>
          <w:color w:val="1B4F72"/>
          <w:sz w:val="28"/>
          <w:szCs w:val="28"/>
        </w:rPr>
        <w:t xml:space="preserve">Newsletter</w:t>
      </w:r>
    </w:p>
    <w:p>
      <w:pPr>
        <w:spacing w:after="200" w:line="320"/>
      </w:pPr>
      <w:r>
        <w:rPr>
          <w:rFonts w:ascii="Georgia" w:cs="Georgia" w:eastAsia="Georgia" w:hAnsi="Georgia"/>
          <w:color w:val="1C1C1C"/>
          <w:sz w:val="22"/>
          <w:szCs w:val="22"/>
        </w:rPr>
        <w:t xml:space="preserve">Subscribe to receive quarterly updates on our work, impact stories, new publications, and opportunities to partner and get involved.</w:t>
      </w:r>
    </w:p>
    <w:p>
      <w:pPr>
        <w:spacing w:after="200" w:line="320"/>
      </w:pPr>
      <w:r>
        <w:rPr>
          <w:rFonts w:ascii="Georgia" w:cs="Georgia" w:eastAsia="Georgia" w:hAnsi="Georgia"/>
          <w:b/>
          <w:bCs/>
          <w:color w:val="1C1C1C"/>
          <w:sz w:val="22"/>
          <w:szCs w:val="22"/>
        </w:rPr>
        <w:t xml:space="preserve"/>
      </w:r>
      <w:r>
        <w:rPr>
          <w:rFonts w:ascii="Georgia" w:cs="Georgia" w:eastAsia="Georgia" w:hAnsi="Georgia"/>
          <w:color w:val="1C1C1C"/>
          <w:sz w:val="22"/>
          <w:szCs w:val="22"/>
        </w:rPr>
        <w:t xml:space="preserve">[Email signup 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6"/>
        <w:szCs w:val="16"/>
      </w:rPr>
      <w:t xml:space="preserve">Confidential Draft  |  April 2026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b/>
        <w:bCs/>
        <w:color w:val="2E86C1"/>
        <w:spacing w:val="60"/>
        <w:sz w:val="16"/>
        <w:szCs w:val="16"/>
      </w:rPr>
      <w:t xml:space="preserve">ZOMUJO FOUNDATION</w:t>
    </w:r>
    <w:r>
      <w:rPr>
        <w:rFonts w:ascii="Arial" w:cs="Arial" w:eastAsia="Arial" w:hAnsi="Arial"/>
        <w:color w:val="555555"/>
        <w:sz w:val="16"/>
        <w:szCs w:val="16"/>
      </w:rPr>
      <w:t xml:space="preserve">  |  Website Content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2026-04-18T02:32:34.902Z</dcterms:created>
  <dcterms:modified xsi:type="dcterms:W3CDTF">2026-04-18T02:32:34.903Z</dcterms:modified>
</cp:coreProperties>
</file>

<file path=docProps/custom.xml><?xml version="1.0" encoding="utf-8"?>
<Properties xmlns="http://schemas.openxmlformats.org/officeDocument/2006/custom-properties" xmlns:vt="http://schemas.openxmlformats.org/officeDocument/2006/docPropsVTypes"/>
</file>