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427"/>
      </w:tblGrid>
      <w:tr w:rsidR="002465D9" w14:paraId="394F2BD5" w14:textId="77777777" w:rsidTr="00BF5CBB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427" w:type="dxa"/>
            <w:vAlign w:val="center"/>
          </w:tcPr>
          <w:p w14:paraId="37184656" w14:textId="25ABE153" w:rsidR="002465D9" w:rsidRPr="00B3124B" w:rsidRDefault="007F4AF9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Operaciones </w:t>
            </w:r>
          </w:p>
        </w:tc>
      </w:tr>
      <w:tr w:rsidR="002465D9" w14:paraId="6DAB9D09" w14:textId="77777777" w:rsidTr="00BF5CBB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Jefe inmediato</w:t>
            </w:r>
          </w:p>
        </w:tc>
        <w:tc>
          <w:tcPr>
            <w:tcW w:w="5427" w:type="dxa"/>
            <w:vAlign w:val="center"/>
          </w:tcPr>
          <w:p w14:paraId="24370445" w14:textId="45159356" w:rsidR="002465D9" w:rsidRPr="00E279C2" w:rsidRDefault="007F4AF9" w:rsidP="007F4AF9">
            <w:pPr>
              <w:rPr>
                <w:rFonts w:cs="Arial"/>
              </w:rPr>
            </w:pPr>
            <w:r>
              <w:rPr>
                <w:rFonts w:cs="Arial"/>
              </w:rPr>
              <w:t xml:space="preserve">Director de Operaciones </w:t>
            </w:r>
          </w:p>
        </w:tc>
      </w:tr>
      <w:tr w:rsidR="002465D9" w14:paraId="044AAECA" w14:textId="77777777" w:rsidTr="00BF5CBB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>Cargo o Posición</w:t>
            </w:r>
          </w:p>
        </w:tc>
        <w:tc>
          <w:tcPr>
            <w:tcW w:w="5427" w:type="dxa"/>
            <w:vAlign w:val="center"/>
          </w:tcPr>
          <w:p w14:paraId="008EE097" w14:textId="1C25FFDE" w:rsidR="002465D9" w:rsidRPr="00B3124B" w:rsidRDefault="007F4AF9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Analista II de Operaciones</w:t>
            </w:r>
          </w:p>
        </w:tc>
      </w:tr>
      <w:tr w:rsidR="002465D9" w14:paraId="2FAF5433" w14:textId="77777777" w:rsidTr="00BF5CBB">
        <w:trPr>
          <w:trHeight w:val="280"/>
        </w:trPr>
        <w:tc>
          <w:tcPr>
            <w:tcW w:w="9782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14:paraId="0AD67759" w14:textId="77777777" w:rsidTr="00BF5CBB">
        <w:trPr>
          <w:trHeight w:val="623"/>
        </w:trPr>
        <w:tc>
          <w:tcPr>
            <w:tcW w:w="9782" w:type="dxa"/>
            <w:gridSpan w:val="2"/>
            <w:shd w:val="clear" w:color="auto" w:fill="auto"/>
            <w:vAlign w:val="center"/>
          </w:tcPr>
          <w:p w14:paraId="743E086F" w14:textId="4608FABA" w:rsidR="007F4AF9" w:rsidRPr="007F4AF9" w:rsidRDefault="007F4AF9" w:rsidP="00866457">
            <w:pPr>
              <w:ind w:left="34"/>
              <w:rPr>
                <w:rFonts w:cs="Arial"/>
                <w:color w:val="000000" w:themeColor="text1"/>
                <w:lang w:val="es-CO"/>
              </w:rPr>
            </w:pPr>
            <w:r w:rsidRPr="007F4AF9">
              <w:rPr>
                <w:rFonts w:cs="Arial"/>
                <w:lang w:val="es-CO"/>
              </w:rPr>
              <w:t>Garantizar que la mercancía que ingresa a Zona Franca y autorizaciones de embarque que ingresan como exportación de Colombia a Zona Franca cumple con los parámetros del Régimen Franco y exigencias de las entidades de Control e ingresar en forma efectiva la información exigida por el proceso respectivo.</w:t>
            </w:r>
          </w:p>
        </w:tc>
      </w:tr>
    </w:tbl>
    <w:p w14:paraId="686C2C9D" w14:textId="77777777" w:rsidR="002951E3" w:rsidRDefault="002951E3" w:rsidP="002951E3">
      <w:pPr>
        <w:pStyle w:val="Ttulo2"/>
        <w:numPr>
          <w:ilvl w:val="0"/>
          <w:numId w:val="0"/>
        </w:numPr>
        <w:spacing w:before="0" w:line="240" w:lineRule="auto"/>
        <w:rPr>
          <w:rFonts w:eastAsiaTheme="minorHAnsi" w:cs="Arial"/>
          <w:bCs w:val="0"/>
          <w:color w:val="auto"/>
          <w:sz w:val="24"/>
          <w:szCs w:val="24"/>
        </w:rPr>
      </w:pPr>
    </w:p>
    <w:p w14:paraId="31A0EC07" w14:textId="36657191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 xml:space="preserve">PRINCIPALES </w:t>
      </w:r>
      <w:r w:rsidR="00676F24">
        <w:rPr>
          <w:rFonts w:cs="Arial"/>
          <w:sz w:val="24"/>
          <w:szCs w:val="24"/>
        </w:rPr>
        <w:t xml:space="preserve">FUNCIONES Y </w:t>
      </w:r>
      <w:r w:rsidRPr="00EE5F24">
        <w:rPr>
          <w:rFonts w:cs="Arial"/>
          <w:sz w:val="24"/>
          <w:szCs w:val="24"/>
        </w:rPr>
        <w:t>RESPONSABILIDADES:</w:t>
      </w:r>
    </w:p>
    <w:p w14:paraId="62E06790" w14:textId="77777777" w:rsidR="002255C6" w:rsidRPr="002255C6" w:rsidRDefault="002255C6" w:rsidP="002801AE">
      <w:pPr>
        <w:ind w:left="-284"/>
      </w:pPr>
    </w:p>
    <w:p w14:paraId="30EB0EEB" w14:textId="77777777" w:rsidR="00BF5CBB" w:rsidRDefault="00423DBA" w:rsidP="00BF5CBB">
      <w:pPr>
        <w:pStyle w:val="Prrafodelista"/>
        <w:numPr>
          <w:ilvl w:val="1"/>
          <w:numId w:val="12"/>
        </w:numPr>
        <w:spacing w:after="0"/>
        <w:ind w:left="851" w:hanging="425"/>
        <w:rPr>
          <w:rFonts w:cs="Arial"/>
          <w:color w:val="000000" w:themeColor="text1"/>
        </w:rPr>
      </w:pPr>
      <w:r w:rsidRPr="00423DBA">
        <w:rPr>
          <w:rFonts w:cs="Arial"/>
          <w:color w:val="000000" w:themeColor="text1"/>
        </w:rPr>
        <w:t>EN AUTORIZACIONES:</w:t>
      </w:r>
    </w:p>
    <w:p w14:paraId="7EC88A83" w14:textId="77777777" w:rsidR="00BF5CBB" w:rsidRDefault="00BF5CBB" w:rsidP="00BF5CBB">
      <w:pPr>
        <w:pStyle w:val="Prrafodelista"/>
        <w:spacing w:after="0"/>
        <w:ind w:left="1440"/>
        <w:rPr>
          <w:rFonts w:cs="Arial"/>
          <w:color w:val="000000" w:themeColor="text1"/>
        </w:rPr>
      </w:pPr>
    </w:p>
    <w:p w14:paraId="348BFC53" w14:textId="44A818C0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Verificar que los documentos de Transporte (BL, Carta de Porte) estén consignados o endosados a un usuario de la Zona Franca.</w:t>
      </w:r>
    </w:p>
    <w:p w14:paraId="76AD79D9" w14:textId="77777777" w:rsidR="00775AC5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Conocer las actividades calificadas de los usuarios</w:t>
      </w:r>
      <w:r w:rsidR="00775AC5">
        <w:rPr>
          <w:rFonts w:cs="Arial"/>
        </w:rPr>
        <w:t>.</w:t>
      </w:r>
    </w:p>
    <w:p w14:paraId="4EF193B3" w14:textId="07E7EE33" w:rsidR="00423DBA" w:rsidRPr="00866457" w:rsidRDefault="00775AC5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A</w:t>
      </w:r>
      <w:r w:rsidR="00423DBA" w:rsidRPr="00866457">
        <w:rPr>
          <w:rFonts w:cs="Arial"/>
        </w:rPr>
        <w:t>probar sus ítems, matrices y FMM, de acuerdo a las actividades calificadas</w:t>
      </w:r>
      <w:r>
        <w:rPr>
          <w:rFonts w:cs="Arial"/>
        </w:rPr>
        <w:t xml:space="preserve"> </w:t>
      </w:r>
      <w:r w:rsidR="002F5716">
        <w:rPr>
          <w:rFonts w:cs="Arial"/>
        </w:rPr>
        <w:t>cuando se requiera</w:t>
      </w:r>
      <w:r w:rsidR="00423DBA" w:rsidRPr="00866457">
        <w:rPr>
          <w:rFonts w:cs="Arial"/>
        </w:rPr>
        <w:t>.</w:t>
      </w:r>
    </w:p>
    <w:p w14:paraId="198CA386" w14:textId="77777777" w:rsidR="00BF5CBB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Verificar que las mercancías ingresadas con beneficios de régimen franco por las empresas cumplan con las actividades calificadas de los usuarios.</w:t>
      </w:r>
    </w:p>
    <w:p w14:paraId="7DDF61A0" w14:textId="4369FBA2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Recibir la mercancía que llega del exterior a Zona Franca, verificarla contra        documentos y autorizar las operaciones de ingreso y salida de mercancías (TAN - RM) desde y hacia el territorio Aduanero Nacional y Resto del Mundo. </w:t>
      </w:r>
    </w:p>
    <w:p w14:paraId="10D2B837" w14:textId="071610BE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Verificar contra documentos peso, número de bultos, placa, términos del tránsito, precintos, entre otros.</w:t>
      </w:r>
    </w:p>
    <w:p w14:paraId="20177928" w14:textId="5F5E9FC2" w:rsidR="00423DBA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Elaborar </w:t>
      </w:r>
      <w:r w:rsidR="002F5716">
        <w:rPr>
          <w:rFonts w:cs="Arial"/>
        </w:rPr>
        <w:t xml:space="preserve">manifiestos de carga, registros de finalización y </w:t>
      </w:r>
      <w:r w:rsidRPr="00866457">
        <w:rPr>
          <w:rFonts w:cs="Arial"/>
        </w:rPr>
        <w:t>planillas de recepción.</w:t>
      </w:r>
    </w:p>
    <w:p w14:paraId="5AF5CAE5" w14:textId="0FE709A7" w:rsidR="009A14F3" w:rsidRPr="00B32F20" w:rsidRDefault="009A14F3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 xml:space="preserve">Enviar los documentos de finalización de </w:t>
      </w:r>
      <w:r w:rsidR="002F5716" w:rsidRPr="00B32F20">
        <w:rPr>
          <w:rFonts w:cs="Arial"/>
          <w:highlight w:val="lightGray"/>
        </w:rPr>
        <w:t>tránsitos</w:t>
      </w:r>
      <w:r w:rsidRPr="00B32F20">
        <w:rPr>
          <w:rFonts w:cs="Arial"/>
          <w:highlight w:val="lightGray"/>
        </w:rPr>
        <w:t xml:space="preserve"> a los usuarios calificados.</w:t>
      </w:r>
    </w:p>
    <w:p w14:paraId="400E9109" w14:textId="4D08FA3D" w:rsidR="009A14F3" w:rsidRPr="00B32F20" w:rsidRDefault="009A14F3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>Enviar los documentos originales de tránsitos con sus respectivos soportes a la DIAN, una vez estos se encuentren finalizados.</w:t>
      </w:r>
    </w:p>
    <w:p w14:paraId="075CAE81" w14:textId="54B77CA3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Validar la veracidad, calidad y coherencia de la información de los documentos tales como DTA, Planillas de Traslado, DTAI Cabotaje, entre otros. </w:t>
      </w:r>
    </w:p>
    <w:p w14:paraId="099F30B5" w14:textId="2D6A09C9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Revisar y aprobar documentos correspondientes a ingresos (RM – TAN) y salidas (RM-TAN)</w:t>
      </w:r>
      <w:r w:rsidR="002F5716">
        <w:rPr>
          <w:rFonts w:cs="Arial"/>
        </w:rPr>
        <w:t xml:space="preserve"> cuando se requiera</w:t>
      </w:r>
      <w:r w:rsidRPr="00866457">
        <w:rPr>
          <w:rFonts w:cs="Arial"/>
        </w:rPr>
        <w:t>.</w:t>
      </w:r>
    </w:p>
    <w:p w14:paraId="023F20BC" w14:textId="75DCF54D" w:rsidR="00866457" w:rsidRDefault="00423DBA" w:rsidP="00BF5CBB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color w:val="000000" w:themeColor="text1"/>
        </w:rPr>
      </w:pPr>
      <w:r w:rsidRPr="00866457">
        <w:rPr>
          <w:rFonts w:cs="Arial"/>
        </w:rPr>
        <w:lastRenderedPageBreak/>
        <w:t>Hacer</w:t>
      </w:r>
      <w:r w:rsidRPr="00BF5CBB">
        <w:rPr>
          <w:rFonts w:cs="Arial"/>
          <w:color w:val="000000" w:themeColor="text1"/>
        </w:rPr>
        <w:t xml:space="preserve"> seguimiento </w:t>
      </w:r>
      <w:r w:rsidR="002F5716">
        <w:rPr>
          <w:rFonts w:cs="Arial"/>
          <w:color w:val="000000" w:themeColor="text1"/>
        </w:rPr>
        <w:t xml:space="preserve">en el sistema informático de la DIAN, </w:t>
      </w:r>
      <w:r w:rsidRPr="00BF5CBB">
        <w:rPr>
          <w:rFonts w:cs="Arial"/>
          <w:color w:val="000000" w:themeColor="text1"/>
        </w:rPr>
        <w:t>a los ingresos pendientes desde el resto del mundo.</w:t>
      </w:r>
    </w:p>
    <w:p w14:paraId="38BB809C" w14:textId="77777777" w:rsidR="002F5716" w:rsidRPr="00E93CCA" w:rsidRDefault="002F5716" w:rsidP="002F5716">
      <w:pPr>
        <w:pStyle w:val="Textbody"/>
        <w:spacing w:line="240" w:lineRule="auto"/>
        <w:rPr>
          <w:rFonts w:cs="Arial"/>
          <w:color w:val="000000" w:themeColor="text1"/>
        </w:rPr>
      </w:pPr>
    </w:p>
    <w:p w14:paraId="6AA71834" w14:textId="6B6DD3E9" w:rsidR="00BF5CBB" w:rsidRDefault="00423DBA" w:rsidP="00BF5CBB">
      <w:pPr>
        <w:rPr>
          <w:rFonts w:cs="Arial"/>
          <w:color w:val="000000" w:themeColor="text1"/>
        </w:rPr>
      </w:pPr>
      <w:r w:rsidRPr="00BF5CBB">
        <w:t>EN APOYO</w:t>
      </w:r>
    </w:p>
    <w:p w14:paraId="34FEFE94" w14:textId="1EB445E4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Archivar los documentos de la operación, asegurando la calidad (completa y correcta), oportunidad y disponibilidad inmediata cuando se requieran.</w:t>
      </w:r>
    </w:p>
    <w:p w14:paraId="0598338B" w14:textId="574BE4A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Apoyar la elaboración de los indicadores de gestión del proceso.</w:t>
      </w:r>
    </w:p>
    <w:p w14:paraId="3D9D0EA2" w14:textId="7DE148A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Recolectar la información y elaborar los indicadores según las necesidades y registros del sistema de calidad del proceso.</w:t>
      </w:r>
    </w:p>
    <w:p w14:paraId="3E328B2F" w14:textId="35F8C2A7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Apoyar el Sistema Integral para la Prevención de Lavado de Activos y Financiación de Terrorismo - SIPLA.</w:t>
      </w:r>
    </w:p>
    <w:p w14:paraId="3E4B33CE" w14:textId="2415CC9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Presentar información sobre operaciones sospechosas.</w:t>
      </w:r>
    </w:p>
    <w:p w14:paraId="703EB636" w14:textId="27D87CD0" w:rsidR="00423DBA" w:rsidRDefault="000D62D4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>
        <w:rPr>
          <w:rFonts w:cs="Arial"/>
        </w:rPr>
        <w:t>Revisión</w:t>
      </w:r>
      <w:r w:rsidR="00423DBA" w:rsidRPr="00866457">
        <w:rPr>
          <w:rFonts w:cs="Arial"/>
        </w:rPr>
        <w:t xml:space="preserve"> de Formularios de Movimiento de Mercancías</w:t>
      </w:r>
      <w:r w:rsidR="00E93CCA">
        <w:rPr>
          <w:rFonts w:cs="Arial"/>
        </w:rPr>
        <w:t xml:space="preserve"> y certificados de integración cuando se requiera.</w:t>
      </w:r>
    </w:p>
    <w:p w14:paraId="3CAD35FA" w14:textId="7EF9746B" w:rsidR="006100C1" w:rsidRPr="00B32F20" w:rsidRDefault="00E93CC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 xml:space="preserve">Monitorear el sistema de control de inventarios, con el fin de validar que los formularios de movimiento de mercancías  se revisen dentro de los tiempos establecidos según </w:t>
      </w:r>
      <w:r w:rsidR="002A2AE9" w:rsidRPr="00B32F20">
        <w:rPr>
          <w:rFonts w:cs="Arial"/>
          <w:highlight w:val="lightGray"/>
        </w:rPr>
        <w:t>la promesa de valor.</w:t>
      </w:r>
    </w:p>
    <w:p w14:paraId="7A08B11B" w14:textId="77777777" w:rsidR="00294BE3" w:rsidRPr="00B32F20" w:rsidRDefault="006100C1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>Velar porque sean atendidas las solicitudes realizadas por los usuarios de forma oportuna.</w:t>
      </w:r>
    </w:p>
    <w:p w14:paraId="365FBFDC" w14:textId="4C8C56EF" w:rsidR="00294BE3" w:rsidRPr="00B32F20" w:rsidRDefault="00294BE3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>Tramitar los requerimientos de los usuarios ante la empresa del soporte del sistema de control de inventarios.</w:t>
      </w:r>
    </w:p>
    <w:p w14:paraId="38B16004" w14:textId="19D142F4" w:rsidR="002A2AE9" w:rsidRPr="00B32F20" w:rsidRDefault="002A2AE9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 xml:space="preserve">Procesar las solicitudes de modificación que realicen los usuarios que estén bajo su cargo. </w:t>
      </w:r>
    </w:p>
    <w:p w14:paraId="0C025B91" w14:textId="61DA4241" w:rsidR="002A2AE9" w:rsidRPr="00B32F20" w:rsidRDefault="002A2AE9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>Llevar control de la vigencia de las pólizas de cumplimiento de los usuarios calificados.</w:t>
      </w:r>
    </w:p>
    <w:p w14:paraId="517F83BF" w14:textId="0D2CB02E" w:rsidR="002A2AE9" w:rsidRPr="00B32F20" w:rsidRDefault="002A2AE9" w:rsidP="00294BE3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>Controlar y mantener actualizado el registro de firmas autorizadas, áreas de ocupación y la información general de los usuarios calificados.</w:t>
      </w:r>
    </w:p>
    <w:p w14:paraId="461D819C" w14:textId="51A95163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Analizar documentos conforme al requerimiento de la operación del usuario.</w:t>
      </w:r>
    </w:p>
    <w:p w14:paraId="162E6D38" w14:textId="47A183F6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Apoyar el inicio de operaciones de los usuarios de la Zona Franca Internacional de Pereira.</w:t>
      </w:r>
    </w:p>
    <w:p w14:paraId="17D5D255" w14:textId="49BEA4E1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Acompañar, asesorar y dar soporte.</w:t>
      </w:r>
    </w:p>
    <w:p w14:paraId="7EA13BA9" w14:textId="179114B5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>Capacitar a los nuevos usuarios en el régimen franco y en el sistema APPOLO.</w:t>
      </w:r>
    </w:p>
    <w:p w14:paraId="23C75671" w14:textId="070B6A4C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Acompañar, capacitar y dar la inducción a los nuevos funcionarios del área de Operaciones. </w:t>
      </w:r>
    </w:p>
    <w:p w14:paraId="47280A42" w14:textId="0C12ADA5" w:rsidR="00423DBA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lastRenderedPageBreak/>
        <w:t>Asegurar que toda actividad o gestión de su cargo cumpla con los requisitos y estándares de seguridad establecidos en el Sistema de Gestión de Calidad, SG-SST, SGA y Control y Seguridad BASC.</w:t>
      </w:r>
    </w:p>
    <w:p w14:paraId="4EEA04AC" w14:textId="643FD692" w:rsidR="000920BA" w:rsidRPr="00B32F20" w:rsidRDefault="000920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  <w:highlight w:val="lightGray"/>
        </w:rPr>
      </w:pPr>
      <w:r w:rsidRPr="00B32F20">
        <w:rPr>
          <w:rFonts w:cs="Arial"/>
          <w:highlight w:val="lightGray"/>
        </w:rPr>
        <w:t>Dar apoyo a la dirección del proceso en la actualización de formatos y procedimientos de operaciones cuando se requiera.</w:t>
      </w:r>
    </w:p>
    <w:p w14:paraId="79A0BC24" w14:textId="4514B067" w:rsidR="00423DBA" w:rsidRPr="00866457" w:rsidRDefault="00423DBA" w:rsidP="00866457">
      <w:pPr>
        <w:pStyle w:val="Textbody"/>
        <w:numPr>
          <w:ilvl w:val="0"/>
          <w:numId w:val="19"/>
        </w:numPr>
        <w:spacing w:line="240" w:lineRule="auto"/>
        <w:ind w:left="0" w:hanging="426"/>
        <w:rPr>
          <w:rFonts w:cs="Arial"/>
        </w:rPr>
      </w:pPr>
      <w:r w:rsidRPr="00866457">
        <w:rPr>
          <w:rFonts w:cs="Arial"/>
        </w:rPr>
        <w:t xml:space="preserve">Asistir a reuniones y/o comités establecidos al interior de la compañía o cuándo </w:t>
      </w:r>
      <w:r w:rsidR="000D62D4">
        <w:rPr>
          <w:rFonts w:cs="Arial"/>
        </w:rPr>
        <w:t>se</w:t>
      </w:r>
      <w:r w:rsidRPr="00866457">
        <w:rPr>
          <w:rFonts w:cs="Arial"/>
        </w:rPr>
        <w:t xml:space="preserve"> estime conveniente, presentando los informes o análisis que se estimen convenientes.</w:t>
      </w:r>
    </w:p>
    <w:p w14:paraId="077355E1" w14:textId="77777777" w:rsidR="00485BA2" w:rsidRPr="00201D19" w:rsidRDefault="00485BA2" w:rsidP="00485BA2">
      <w:pPr>
        <w:pStyle w:val="Prrafodelista"/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08D5A946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D514C5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64A5D3FB" w14:textId="28D6EA9E" w:rsidR="00485BA2" w:rsidRDefault="00485BA2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Toma decisiones a nivel operativo</w:t>
            </w:r>
            <w:r w:rsidR="009B50D4">
              <w:rPr>
                <w:lang w:val="es-CO"/>
              </w:rPr>
              <w:t>,</w:t>
            </w:r>
            <w:r>
              <w:rPr>
                <w:lang w:val="es-CO"/>
              </w:rPr>
              <w:t xml:space="preserve"> para el desarrollo adecuado de sus funciones establecidas en los procedimientos.</w:t>
            </w:r>
          </w:p>
          <w:p w14:paraId="0ED4FDC2" w14:textId="77777777" w:rsidR="00B32F20" w:rsidRDefault="00B32F20" w:rsidP="00485BA2">
            <w:pPr>
              <w:jc w:val="center"/>
              <w:rPr>
                <w:lang w:val="es-CO"/>
              </w:rPr>
            </w:pPr>
          </w:p>
          <w:p w14:paraId="41FD7DB2" w14:textId="49A9AA90" w:rsidR="00E65A4B" w:rsidRDefault="00E65A4B" w:rsidP="00485BA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T</w:t>
            </w:r>
            <w:r w:rsidRPr="00E65A4B">
              <w:rPr>
                <w:lang w:val="es-CO"/>
              </w:rPr>
              <w:t>iene autoridad para la administración de las operaciones de comercio exterior que se realicen desde y hacia la Zona Franca Internacional de Pereira.</w:t>
            </w:r>
          </w:p>
          <w:p w14:paraId="15332805" w14:textId="77777777" w:rsidR="00485BA2" w:rsidRPr="00F22F83" w:rsidRDefault="00485BA2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636800C2" w14:textId="77777777" w:rsidR="00485BA2" w:rsidRDefault="00485BA2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Default="009B50D4" w:rsidP="00C50784">
            <w:pPr>
              <w:jc w:val="center"/>
            </w:pPr>
          </w:p>
          <w:p w14:paraId="2D67F056" w14:textId="77777777" w:rsidR="00FB7628" w:rsidRDefault="00FB7628" w:rsidP="00C50784">
            <w:pPr>
              <w:jc w:val="center"/>
            </w:pPr>
            <w:r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4CCA20FD" w:rsidR="00FB7628" w:rsidRPr="00B32F20" w:rsidRDefault="00AC5950" w:rsidP="00471D22">
            <w:pPr>
              <w:rPr>
                <w:highlight w:val="lightGray"/>
              </w:rPr>
            </w:pPr>
            <w:r w:rsidRPr="00B32F20">
              <w:rPr>
                <w:highlight w:val="lightGray"/>
              </w:rPr>
              <w:t>Atender los requerimientos de los demás procesos de la compañía en cuanto a los temas de operaciones.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Default="009B50D4" w:rsidP="00C50784">
            <w:pPr>
              <w:jc w:val="center"/>
            </w:pPr>
          </w:p>
          <w:p w14:paraId="36436752" w14:textId="77777777" w:rsidR="00FB7628" w:rsidRDefault="00FB7628" w:rsidP="00C50784">
            <w:pPr>
              <w:jc w:val="center"/>
            </w:pPr>
            <w:r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FB7628" w:rsidRDefault="00FB7628" w:rsidP="00C50784">
            <w:pPr>
              <w:jc w:val="center"/>
            </w:pPr>
            <w:r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340280D6" w:rsidR="00FB7628" w:rsidRPr="00B32F20" w:rsidRDefault="00AC5950" w:rsidP="00471D22">
            <w:pPr>
              <w:rPr>
                <w:highlight w:val="lightGray"/>
              </w:rPr>
            </w:pPr>
            <w:r w:rsidRPr="00B32F20">
              <w:rPr>
                <w:highlight w:val="lightGray"/>
              </w:rPr>
              <w:t>Atender los requerimientos de los usuarios calificados, así c</w:t>
            </w:r>
            <w:r w:rsidR="00CF01E5" w:rsidRPr="00B32F20">
              <w:rPr>
                <w:highlight w:val="lightGray"/>
              </w:rPr>
              <w:t>omo de las entidades de control DIAN, Ministerio de Comercio, Industria y Turismo.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6BDDDEE4" w14:textId="77777777" w:rsidR="00FB7628" w:rsidRDefault="00FB7628" w:rsidP="00C50784">
            <w:pPr>
              <w:jc w:val="center"/>
            </w:pPr>
            <w:r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3279237D" w14:textId="7ADAD47A" w:rsidR="00FB7628" w:rsidRPr="002E7C73" w:rsidRDefault="00FB7628" w:rsidP="00884403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 w:rsidRPr="002E7C73">
        <w:rPr>
          <w:rFonts w:cs="Arial"/>
          <w:b/>
          <w:sz w:val="24"/>
          <w:szCs w:val="24"/>
        </w:rPr>
        <w:lastRenderedPageBreak/>
        <w:t xml:space="preserve">PERFIL DEL CARGO: </w:t>
      </w: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B26355">
        <w:trPr>
          <w:trHeight w:val="221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B26355">
        <w:trPr>
          <w:trHeight w:val="221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6D473DCE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</w:t>
            </w:r>
            <w:r w:rsidR="00707AF8">
              <w:rPr>
                <w:rFonts w:cs="Arial"/>
                <w:color w:val="000000"/>
              </w:rPr>
              <w:t>X</w:t>
            </w:r>
            <w:r>
              <w:rPr>
                <w:rFonts w:cs="Arial"/>
                <w:color w:val="000000"/>
              </w:rPr>
              <w:t xml:space="preserve">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2A8A3CB4" w:rsidR="00FB7628" w:rsidRDefault="00D514C5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</w:tr>
      <w:tr w:rsidR="00FB7628" w14:paraId="681C5FBB" w14:textId="77777777" w:rsidTr="00B26355">
        <w:trPr>
          <w:trHeight w:val="221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B26355">
        <w:trPr>
          <w:trHeight w:val="221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B26355">
        <w:trPr>
          <w:trHeight w:val="650"/>
        </w:trPr>
        <w:tc>
          <w:tcPr>
            <w:tcW w:w="4826" w:type="dxa"/>
            <w:gridSpan w:val="2"/>
            <w:shd w:val="clear" w:color="auto" w:fill="auto"/>
          </w:tcPr>
          <w:p w14:paraId="070DD327" w14:textId="69D1109D" w:rsidR="00FB7628" w:rsidRPr="00F53543" w:rsidRDefault="00B95799" w:rsidP="008B7D20">
            <w:pPr>
              <w:rPr>
                <w:lang w:val="es-CO"/>
              </w:rPr>
            </w:pPr>
            <w:r>
              <w:rPr>
                <w:lang w:val="es-CO"/>
              </w:rPr>
              <w:t xml:space="preserve">Técnico o </w:t>
            </w:r>
            <w:r w:rsidR="008B7D20">
              <w:rPr>
                <w:lang w:val="es-CO"/>
              </w:rPr>
              <w:t xml:space="preserve">Tecnólogo </w:t>
            </w:r>
            <w:r w:rsidR="00423DBA" w:rsidRPr="00423DBA">
              <w:rPr>
                <w:lang w:val="es-CO"/>
              </w:rPr>
              <w:t>en Comercio Exterior</w:t>
            </w:r>
            <w:r>
              <w:rPr>
                <w:lang w:val="es-CO"/>
              </w:rPr>
              <w:t>, Comercio Internacional</w:t>
            </w:r>
            <w:r w:rsidR="00423DBA" w:rsidRPr="00423DBA">
              <w:rPr>
                <w:lang w:val="es-CO"/>
              </w:rPr>
              <w:t xml:space="preserve"> y/o carreras administrativas o afines.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5BFDA2EF" w14:textId="77777777" w:rsidR="00FB7628" w:rsidRDefault="00FB7628" w:rsidP="00C50784">
            <w:pPr>
              <w:jc w:val="center"/>
              <w:rPr>
                <w:rFonts w:eastAsia="Arial" w:cs="Arial"/>
                <w:lang w:val="es-CO"/>
              </w:rPr>
            </w:pPr>
          </w:p>
          <w:p w14:paraId="0E1BDBF1" w14:textId="656A3F4D" w:rsidR="00FB7628" w:rsidRPr="000A7454" w:rsidRDefault="00FB7628" w:rsidP="006607CD">
            <w:pPr>
              <w:jc w:val="center"/>
              <w:rPr>
                <w:lang w:val="es-CO"/>
              </w:rPr>
            </w:pPr>
            <w:r w:rsidRPr="000A7454">
              <w:rPr>
                <w:rFonts w:eastAsia="Arial" w:cs="Arial"/>
                <w:lang w:val="es-CO"/>
              </w:rPr>
              <w:t xml:space="preserve"> 3 años de experiencia</w:t>
            </w:r>
          </w:p>
        </w:tc>
      </w:tr>
      <w:tr w:rsidR="00FB7628" w14:paraId="3DB7BA73" w14:textId="77777777" w:rsidTr="00B26355">
        <w:trPr>
          <w:trHeight w:val="221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B26355">
        <w:trPr>
          <w:trHeight w:val="446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68AD1F76" w14:textId="77777777" w:rsidR="002E7C73" w:rsidRDefault="002E7C73" w:rsidP="002E7C73">
            <w:pPr>
              <w:pStyle w:val="Prrafodelista"/>
              <w:rPr>
                <w:rFonts w:cs="Arial"/>
                <w:lang w:val="es-CO"/>
              </w:rPr>
            </w:pPr>
          </w:p>
          <w:p w14:paraId="5F50CE07" w14:textId="77777777" w:rsidR="00B32F20" w:rsidRPr="00B32F20" w:rsidRDefault="00423DBA" w:rsidP="00B32F20">
            <w:pPr>
              <w:pStyle w:val="Prrafodelista"/>
              <w:numPr>
                <w:ilvl w:val="0"/>
                <w:numId w:val="23"/>
              </w:numPr>
              <w:rPr>
                <w:rFonts w:cs="Arial"/>
                <w:lang w:val="es-CO"/>
              </w:rPr>
            </w:pPr>
            <w:r w:rsidRPr="00B32F20">
              <w:rPr>
                <w:rFonts w:cs="Arial"/>
                <w:lang w:val="es-CO"/>
              </w:rPr>
              <w:t>Régimen Franco y</w:t>
            </w:r>
            <w:r w:rsidR="00B32F20" w:rsidRPr="00B32F20">
              <w:rPr>
                <w:rFonts w:cs="Arial"/>
                <w:lang w:val="es-CO"/>
              </w:rPr>
              <w:t>/o</w:t>
            </w:r>
            <w:r w:rsidRPr="00B32F20">
              <w:rPr>
                <w:rFonts w:cs="Arial"/>
                <w:lang w:val="es-CO"/>
              </w:rPr>
              <w:t xml:space="preserve"> Comercio Exterior. </w:t>
            </w:r>
          </w:p>
          <w:p w14:paraId="13D93309" w14:textId="77777777" w:rsidR="00B32F20" w:rsidRDefault="00B32F20" w:rsidP="00B32F20">
            <w:pPr>
              <w:rPr>
                <w:lang w:val="es-CO"/>
              </w:rPr>
            </w:pPr>
          </w:p>
          <w:p w14:paraId="0D93DFE2" w14:textId="0DA71EAF" w:rsidR="00B95799" w:rsidRPr="006607CD" w:rsidRDefault="00B95799" w:rsidP="00B32F20">
            <w:pPr>
              <w:rPr>
                <w:lang w:val="es-CO"/>
              </w:rPr>
            </w:pPr>
          </w:p>
        </w:tc>
      </w:tr>
    </w:tbl>
    <w:tbl>
      <w:tblPr>
        <w:tblpPr w:leftFromText="141" w:rightFromText="141" w:vertAnchor="text" w:horzAnchor="margin" w:tblpXSpec="center" w:tblpY="597"/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C96D3A" w:rsidRPr="00A03143" w14:paraId="09B2F096" w14:textId="77777777" w:rsidTr="00C96D3A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2B05EB5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332E139B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96D3A" w:rsidRPr="00A03143" w14:paraId="522BA6C0" w14:textId="77777777" w:rsidTr="00C96D3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C464B6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87920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96D3A" w:rsidRPr="00A03143" w14:paraId="70F30337" w14:textId="77777777" w:rsidTr="00C96D3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A903C4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2653F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5BB88A40" w14:textId="77777777" w:rsidTr="00C96D3A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F534F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BBE120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1DA04F61" w14:textId="77777777" w:rsidTr="00C96D3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C9C61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81AFF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C96D3A" w:rsidRPr="00A03143" w14:paraId="4BA754DE" w14:textId="77777777" w:rsidTr="00C96D3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1EC32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9F059F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0F3E83AC" w14:textId="77777777" w:rsidTr="00C96D3A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6F93A6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8040B0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462DD94B" w14:textId="77777777" w:rsidTr="00C96D3A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E07F7" w14:textId="77777777" w:rsidR="00C96D3A" w:rsidRPr="00A03143" w:rsidRDefault="00C96D3A" w:rsidP="00C96D3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948E90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96D3A" w:rsidRPr="00A03143" w14:paraId="09F39462" w14:textId="77777777" w:rsidTr="00C96D3A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5E7D0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B0109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2396C7B5" w14:textId="77777777" w:rsidTr="00C96D3A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02C78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6F2A1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1FDDA3C9" w14:textId="77777777" w:rsidTr="00C96D3A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82D96" w14:textId="77777777" w:rsidR="00C96D3A" w:rsidRPr="00A03143" w:rsidRDefault="00C96D3A" w:rsidP="00C96D3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79D499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96D3A" w:rsidRPr="00A03143" w14:paraId="25C0D973" w14:textId="77777777" w:rsidTr="00C96D3A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12453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B3083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66FE9428" w14:textId="77777777" w:rsidTr="00C96D3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2CBAB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C567B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32F1911F" w14:textId="77777777" w:rsidTr="00C96D3A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86BCD0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6622F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10E67B61" w14:textId="77777777" w:rsidTr="00C96D3A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92966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9637C7" w14:textId="77777777" w:rsidR="00C96D3A" w:rsidRPr="00A03143" w:rsidRDefault="00C96D3A" w:rsidP="00C96D3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C96D3A" w:rsidRPr="00A03143" w14:paraId="303018ED" w14:textId="77777777" w:rsidTr="00C96D3A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7E08C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E506C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96D3A" w:rsidRPr="00A03143" w14:paraId="62C4F090" w14:textId="77777777" w:rsidTr="00C96D3A">
        <w:trPr>
          <w:trHeight w:val="336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38FFD5" w14:textId="77777777" w:rsidR="00C96D3A" w:rsidRPr="00A03143" w:rsidRDefault="00C96D3A" w:rsidP="00C96D3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B7002" w14:textId="77777777" w:rsidR="00C96D3A" w:rsidRPr="00A03143" w:rsidRDefault="00C96D3A" w:rsidP="00C96D3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p w14:paraId="4D8966B9" w14:textId="77777777" w:rsidR="00FB7628" w:rsidRPr="00E279C2" w:rsidRDefault="00FB7628" w:rsidP="00C96D3A">
      <w:pPr>
        <w:shd w:val="clear" w:color="auto" w:fill="FFFFFF"/>
        <w:rPr>
          <w:rFonts w:cs="Arial"/>
        </w:rPr>
      </w:pPr>
    </w:p>
    <w:sectPr w:rsidR="00FB7628" w:rsidRPr="00E279C2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3D952" w14:textId="77777777" w:rsidR="00A60B30" w:rsidRDefault="00A60B30" w:rsidP="001E3B17">
      <w:pPr>
        <w:spacing w:after="0" w:line="240" w:lineRule="auto"/>
      </w:pPr>
      <w:r>
        <w:separator/>
      </w:r>
    </w:p>
  </w:endnote>
  <w:endnote w:type="continuationSeparator" w:id="0">
    <w:p w14:paraId="0725D97B" w14:textId="77777777" w:rsidR="00A60B30" w:rsidRDefault="00A60B30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DFE5B" w14:textId="77777777" w:rsidR="00A60B30" w:rsidRDefault="00A60B30" w:rsidP="001E3B17">
      <w:pPr>
        <w:spacing w:after="0" w:line="240" w:lineRule="auto"/>
      </w:pPr>
      <w:r>
        <w:separator/>
      </w:r>
    </w:p>
  </w:footnote>
  <w:footnote w:type="continuationSeparator" w:id="0">
    <w:p w14:paraId="30D9290D" w14:textId="77777777" w:rsidR="00A60B30" w:rsidRDefault="00A60B30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F553DE" w:rsidRPr="00023527" w14:paraId="25126419" w14:textId="77777777" w:rsidTr="00F553DE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EC4656B" w14:textId="56729FBC" w:rsidR="00F553DE" w:rsidRPr="00F446A0" w:rsidRDefault="004D7F08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BB96C0B" wp14:editId="1832110D">
                <wp:simplePos x="0" y="0"/>
                <wp:positionH relativeFrom="column">
                  <wp:posOffset>-1560830</wp:posOffset>
                </wp:positionH>
                <wp:positionV relativeFrom="paragraph">
                  <wp:posOffset>-160655</wp:posOffset>
                </wp:positionV>
                <wp:extent cx="1200150" cy="541655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541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F73B5CD" w14:textId="53C4DF43" w:rsidR="00F553DE" w:rsidRPr="00F446A0" w:rsidRDefault="004D7F08" w:rsidP="004D7F08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</w:t>
          </w:r>
          <w:r w:rsidR="00F553D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F553DE" w:rsidRPr="00023527" w14:paraId="69064DA7" w14:textId="77777777" w:rsidTr="00F553DE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D96D8C4" w14:textId="77777777" w:rsidR="00F553DE" w:rsidRPr="00023527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F06AE32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558995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28BF5AB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E5C611B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F553DE" w:rsidRPr="00023527" w14:paraId="72BE6618" w14:textId="77777777" w:rsidTr="00F553DE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1DE01D2" w14:textId="77777777" w:rsidR="00F553DE" w:rsidRPr="00D57C60" w:rsidRDefault="00F553DE" w:rsidP="00F553D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CF89C53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891D71F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DF6983A" w14:textId="77777777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83ACC5A" w14:textId="51996DC2" w:rsidR="00F553DE" w:rsidRPr="00F446A0" w:rsidRDefault="00F553DE" w:rsidP="00F553DE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4D7F08" w:rsidRPr="004D7F08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B50FE"/>
    <w:multiLevelType w:val="hybridMultilevel"/>
    <w:tmpl w:val="D0944B7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DE076B5"/>
    <w:multiLevelType w:val="hybridMultilevel"/>
    <w:tmpl w:val="BF68AB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37945"/>
    <w:multiLevelType w:val="hybridMultilevel"/>
    <w:tmpl w:val="5832FE96"/>
    <w:lvl w:ilvl="0" w:tplc="24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F71DF"/>
    <w:multiLevelType w:val="hybridMultilevel"/>
    <w:tmpl w:val="5D6EB9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F0A61"/>
    <w:multiLevelType w:val="hybridMultilevel"/>
    <w:tmpl w:val="B4828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404E36B8"/>
    <w:multiLevelType w:val="hybridMultilevel"/>
    <w:tmpl w:val="C5B4292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187278F"/>
    <w:multiLevelType w:val="hybridMultilevel"/>
    <w:tmpl w:val="9968B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A4DDF"/>
    <w:multiLevelType w:val="hybridMultilevel"/>
    <w:tmpl w:val="41F48B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F1EAA"/>
    <w:multiLevelType w:val="hybridMultilevel"/>
    <w:tmpl w:val="1C02F820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D67E5"/>
    <w:multiLevelType w:val="hybridMultilevel"/>
    <w:tmpl w:val="05804E24"/>
    <w:lvl w:ilvl="0" w:tplc="24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C0DDF"/>
    <w:multiLevelType w:val="hybridMultilevel"/>
    <w:tmpl w:val="962806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2"/>
  </w:num>
  <w:num w:numId="5">
    <w:abstractNumId w:val="17"/>
  </w:num>
  <w:num w:numId="6">
    <w:abstractNumId w:val="22"/>
  </w:num>
  <w:num w:numId="7">
    <w:abstractNumId w:val="8"/>
  </w:num>
  <w:num w:numId="8">
    <w:abstractNumId w:val="4"/>
  </w:num>
  <w:num w:numId="9">
    <w:abstractNumId w:val="15"/>
  </w:num>
  <w:num w:numId="10">
    <w:abstractNumId w:val="20"/>
  </w:num>
  <w:num w:numId="11">
    <w:abstractNumId w:val="9"/>
  </w:num>
  <w:num w:numId="12">
    <w:abstractNumId w:val="19"/>
  </w:num>
  <w:num w:numId="13">
    <w:abstractNumId w:val="14"/>
  </w:num>
  <w:num w:numId="14">
    <w:abstractNumId w:val="13"/>
  </w:num>
  <w:num w:numId="15">
    <w:abstractNumId w:val="0"/>
  </w:num>
  <w:num w:numId="16">
    <w:abstractNumId w:val="11"/>
  </w:num>
  <w:num w:numId="17">
    <w:abstractNumId w:val="1"/>
  </w:num>
  <w:num w:numId="18">
    <w:abstractNumId w:val="18"/>
  </w:num>
  <w:num w:numId="19">
    <w:abstractNumId w:val="16"/>
  </w:num>
  <w:num w:numId="20">
    <w:abstractNumId w:val="12"/>
  </w:num>
  <w:num w:numId="21">
    <w:abstractNumId w:val="3"/>
  </w:num>
  <w:num w:numId="22">
    <w:abstractNumId w:val="5"/>
  </w:num>
  <w:num w:numId="2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27043"/>
    <w:rsid w:val="0004582A"/>
    <w:rsid w:val="000527D1"/>
    <w:rsid w:val="00070D57"/>
    <w:rsid w:val="00074712"/>
    <w:rsid w:val="00074BA6"/>
    <w:rsid w:val="00086E14"/>
    <w:rsid w:val="000920BA"/>
    <w:rsid w:val="0009364C"/>
    <w:rsid w:val="000C7EAE"/>
    <w:rsid w:val="000D2C58"/>
    <w:rsid w:val="000D34B2"/>
    <w:rsid w:val="000D62D4"/>
    <w:rsid w:val="000D684C"/>
    <w:rsid w:val="000D700C"/>
    <w:rsid w:val="000F1A9C"/>
    <w:rsid w:val="000F2F4F"/>
    <w:rsid w:val="000F4082"/>
    <w:rsid w:val="00100490"/>
    <w:rsid w:val="00100CA4"/>
    <w:rsid w:val="00101B9E"/>
    <w:rsid w:val="0011398C"/>
    <w:rsid w:val="001252AD"/>
    <w:rsid w:val="00133E3A"/>
    <w:rsid w:val="00151693"/>
    <w:rsid w:val="00154C14"/>
    <w:rsid w:val="00157311"/>
    <w:rsid w:val="001874D5"/>
    <w:rsid w:val="0019037A"/>
    <w:rsid w:val="001D7510"/>
    <w:rsid w:val="001E3843"/>
    <w:rsid w:val="001E3B17"/>
    <w:rsid w:val="001F1F18"/>
    <w:rsid w:val="001F5D04"/>
    <w:rsid w:val="00200A74"/>
    <w:rsid w:val="00201D19"/>
    <w:rsid w:val="002234F0"/>
    <w:rsid w:val="002255C6"/>
    <w:rsid w:val="0022778E"/>
    <w:rsid w:val="002465D9"/>
    <w:rsid w:val="00264FB0"/>
    <w:rsid w:val="002801AE"/>
    <w:rsid w:val="00282399"/>
    <w:rsid w:val="00294BE3"/>
    <w:rsid w:val="002951E3"/>
    <w:rsid w:val="002A2AE9"/>
    <w:rsid w:val="002A62E7"/>
    <w:rsid w:val="002B0474"/>
    <w:rsid w:val="002E7C73"/>
    <w:rsid w:val="002F5716"/>
    <w:rsid w:val="00301D3C"/>
    <w:rsid w:val="00342916"/>
    <w:rsid w:val="0035372C"/>
    <w:rsid w:val="00372776"/>
    <w:rsid w:val="00386E9F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1DDB"/>
    <w:rsid w:val="003E374C"/>
    <w:rsid w:val="003E59EF"/>
    <w:rsid w:val="003F1478"/>
    <w:rsid w:val="003F44FC"/>
    <w:rsid w:val="00414958"/>
    <w:rsid w:val="00420018"/>
    <w:rsid w:val="00420F24"/>
    <w:rsid w:val="00423DBA"/>
    <w:rsid w:val="00434273"/>
    <w:rsid w:val="00450F66"/>
    <w:rsid w:val="00451EA0"/>
    <w:rsid w:val="00456469"/>
    <w:rsid w:val="00471D22"/>
    <w:rsid w:val="004822B4"/>
    <w:rsid w:val="00485BA2"/>
    <w:rsid w:val="00493A01"/>
    <w:rsid w:val="004D7F08"/>
    <w:rsid w:val="004F5AD8"/>
    <w:rsid w:val="004F7768"/>
    <w:rsid w:val="00505528"/>
    <w:rsid w:val="005059AF"/>
    <w:rsid w:val="00517CB7"/>
    <w:rsid w:val="005319D7"/>
    <w:rsid w:val="00547D16"/>
    <w:rsid w:val="005A0F3D"/>
    <w:rsid w:val="005B50CC"/>
    <w:rsid w:val="005E3879"/>
    <w:rsid w:val="005E4208"/>
    <w:rsid w:val="006100C1"/>
    <w:rsid w:val="006125B3"/>
    <w:rsid w:val="00631B57"/>
    <w:rsid w:val="006418D2"/>
    <w:rsid w:val="006607CD"/>
    <w:rsid w:val="00676F24"/>
    <w:rsid w:val="006954B7"/>
    <w:rsid w:val="006D0131"/>
    <w:rsid w:val="006D0982"/>
    <w:rsid w:val="006D74A1"/>
    <w:rsid w:val="006D74C3"/>
    <w:rsid w:val="006E0787"/>
    <w:rsid w:val="006F0AA0"/>
    <w:rsid w:val="006F0F78"/>
    <w:rsid w:val="006F1CA3"/>
    <w:rsid w:val="00707AF8"/>
    <w:rsid w:val="00723ED3"/>
    <w:rsid w:val="00743C92"/>
    <w:rsid w:val="007505BA"/>
    <w:rsid w:val="00760AA8"/>
    <w:rsid w:val="00775AC5"/>
    <w:rsid w:val="007944C5"/>
    <w:rsid w:val="007B072F"/>
    <w:rsid w:val="007C13CC"/>
    <w:rsid w:val="007C5A1C"/>
    <w:rsid w:val="007D0228"/>
    <w:rsid w:val="007F4AF9"/>
    <w:rsid w:val="008067DF"/>
    <w:rsid w:val="00830E3B"/>
    <w:rsid w:val="00847693"/>
    <w:rsid w:val="00847A3F"/>
    <w:rsid w:val="008565C4"/>
    <w:rsid w:val="00866457"/>
    <w:rsid w:val="00874982"/>
    <w:rsid w:val="00890F6C"/>
    <w:rsid w:val="008949DB"/>
    <w:rsid w:val="008A28C2"/>
    <w:rsid w:val="008B7D20"/>
    <w:rsid w:val="008D4530"/>
    <w:rsid w:val="008E6C07"/>
    <w:rsid w:val="00902117"/>
    <w:rsid w:val="00925DD3"/>
    <w:rsid w:val="00941F12"/>
    <w:rsid w:val="00951292"/>
    <w:rsid w:val="0096000A"/>
    <w:rsid w:val="00966C56"/>
    <w:rsid w:val="009717D2"/>
    <w:rsid w:val="009A12B4"/>
    <w:rsid w:val="009A14F3"/>
    <w:rsid w:val="009B50D4"/>
    <w:rsid w:val="009C24A1"/>
    <w:rsid w:val="00A018E3"/>
    <w:rsid w:val="00A2538F"/>
    <w:rsid w:val="00A405AA"/>
    <w:rsid w:val="00A60B30"/>
    <w:rsid w:val="00A622AF"/>
    <w:rsid w:val="00A65E4F"/>
    <w:rsid w:val="00A66925"/>
    <w:rsid w:val="00A80374"/>
    <w:rsid w:val="00AC5950"/>
    <w:rsid w:val="00AE0EDF"/>
    <w:rsid w:val="00AF47E0"/>
    <w:rsid w:val="00AF5A56"/>
    <w:rsid w:val="00B0514B"/>
    <w:rsid w:val="00B23C9A"/>
    <w:rsid w:val="00B26355"/>
    <w:rsid w:val="00B32F20"/>
    <w:rsid w:val="00B35CEF"/>
    <w:rsid w:val="00B614AC"/>
    <w:rsid w:val="00B62B97"/>
    <w:rsid w:val="00B8345F"/>
    <w:rsid w:val="00B94562"/>
    <w:rsid w:val="00B95799"/>
    <w:rsid w:val="00BF5CBB"/>
    <w:rsid w:val="00C12E60"/>
    <w:rsid w:val="00C50191"/>
    <w:rsid w:val="00C502F2"/>
    <w:rsid w:val="00C65A37"/>
    <w:rsid w:val="00C8048B"/>
    <w:rsid w:val="00C96D3A"/>
    <w:rsid w:val="00CE6F82"/>
    <w:rsid w:val="00CF01E5"/>
    <w:rsid w:val="00CF4721"/>
    <w:rsid w:val="00D06B1C"/>
    <w:rsid w:val="00D44D88"/>
    <w:rsid w:val="00D4517D"/>
    <w:rsid w:val="00D5016D"/>
    <w:rsid w:val="00D514C5"/>
    <w:rsid w:val="00D82B8A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35A21"/>
    <w:rsid w:val="00E400AE"/>
    <w:rsid w:val="00E5285B"/>
    <w:rsid w:val="00E65A4B"/>
    <w:rsid w:val="00E91298"/>
    <w:rsid w:val="00E93CCA"/>
    <w:rsid w:val="00EA5452"/>
    <w:rsid w:val="00EB1CA6"/>
    <w:rsid w:val="00EB4C35"/>
    <w:rsid w:val="00F15D42"/>
    <w:rsid w:val="00F32D3D"/>
    <w:rsid w:val="00F354CB"/>
    <w:rsid w:val="00F402C2"/>
    <w:rsid w:val="00F42D6F"/>
    <w:rsid w:val="00F553DE"/>
    <w:rsid w:val="00F67A12"/>
    <w:rsid w:val="00F72456"/>
    <w:rsid w:val="00F867E7"/>
    <w:rsid w:val="00F870B1"/>
    <w:rsid w:val="00FB7628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86645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6E7F7-58E9-41DD-8DA5-17D62F25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1066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25</cp:revision>
  <cp:lastPrinted>2018-04-05T22:19:00Z</cp:lastPrinted>
  <dcterms:created xsi:type="dcterms:W3CDTF">2018-04-05T22:22:00Z</dcterms:created>
  <dcterms:modified xsi:type="dcterms:W3CDTF">2019-07-26T20:55:00Z</dcterms:modified>
</cp:coreProperties>
</file>