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270"/>
        <w:gridCol w:w="1225"/>
        <w:gridCol w:w="1758"/>
        <w:gridCol w:w="366"/>
        <w:gridCol w:w="373"/>
        <w:gridCol w:w="1150"/>
        <w:gridCol w:w="813"/>
        <w:gridCol w:w="2259"/>
      </w:tblGrid>
      <w:tr w:rsidR="00DC7D25" w:rsidRPr="00DC7D25" w:rsidTr="00832382">
        <w:trPr>
          <w:trHeight w:val="435"/>
        </w:trPr>
        <w:tc>
          <w:tcPr>
            <w:tcW w:w="9214" w:type="dxa"/>
            <w:gridSpan w:val="8"/>
            <w:vAlign w:val="center"/>
          </w:tcPr>
          <w:p w:rsidR="00DC7D25" w:rsidRPr="00C02935" w:rsidRDefault="00BD5220" w:rsidP="002D2942">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C02935">
              <w:rPr>
                <w:rFonts w:ascii="Arial" w:hAnsi="Arial" w:cs="Arial"/>
                <w:sz w:val="24"/>
                <w:szCs w:val="24"/>
              </w:rPr>
              <w:t xml:space="preserve">Aclaración </w:t>
            </w:r>
            <w:r w:rsidR="002D2942">
              <w:rPr>
                <w:rFonts w:ascii="Arial" w:hAnsi="Arial" w:cs="Arial"/>
                <w:sz w:val="24"/>
                <w:szCs w:val="24"/>
              </w:rPr>
              <w:t>incremento en la</w:t>
            </w:r>
            <w:r w:rsidR="00C02935">
              <w:rPr>
                <w:rFonts w:ascii="Arial" w:hAnsi="Arial" w:cs="Arial"/>
                <w:sz w:val="24"/>
                <w:szCs w:val="24"/>
              </w:rPr>
              <w:t xml:space="preserve"> facturación</w:t>
            </w:r>
          </w:p>
        </w:tc>
      </w:tr>
      <w:tr w:rsidR="00DC7D25" w:rsidRPr="00DC7D25" w:rsidTr="00832382">
        <w:trPr>
          <w:trHeight w:val="414"/>
        </w:trPr>
        <w:tc>
          <w:tcPr>
            <w:tcW w:w="127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225" w:type="dxa"/>
            <w:vAlign w:val="center"/>
          </w:tcPr>
          <w:p w:rsidR="00DC7D25" w:rsidRPr="00C02935" w:rsidRDefault="00C02935" w:rsidP="00CC5EA2">
            <w:pPr>
              <w:jc w:val="center"/>
              <w:rPr>
                <w:rFonts w:ascii="Arial" w:hAnsi="Arial" w:cs="Arial"/>
                <w:sz w:val="24"/>
                <w:szCs w:val="24"/>
              </w:rPr>
            </w:pPr>
            <w:r>
              <w:rPr>
                <w:rFonts w:ascii="Arial" w:hAnsi="Arial" w:cs="Arial"/>
                <w:sz w:val="24"/>
                <w:szCs w:val="24"/>
              </w:rPr>
              <w:t>12/09/19</w:t>
            </w:r>
          </w:p>
        </w:tc>
        <w:tc>
          <w:tcPr>
            <w:tcW w:w="1758"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ACTA Nº:</w:t>
            </w:r>
            <w:r w:rsidR="00C02935">
              <w:rPr>
                <w:rFonts w:ascii="Arial" w:hAnsi="Arial" w:cs="Arial"/>
                <w:b/>
                <w:sz w:val="24"/>
                <w:szCs w:val="24"/>
              </w:rPr>
              <w:t xml:space="preserve"> </w:t>
            </w:r>
          </w:p>
        </w:tc>
        <w:tc>
          <w:tcPr>
            <w:tcW w:w="739" w:type="dxa"/>
            <w:gridSpan w:val="2"/>
            <w:vAlign w:val="center"/>
          </w:tcPr>
          <w:p w:rsidR="00DC7D25" w:rsidRPr="00C02935" w:rsidRDefault="00C02935" w:rsidP="00DC7D25">
            <w:pPr>
              <w:rPr>
                <w:rFonts w:ascii="Arial" w:hAnsi="Arial" w:cs="Arial"/>
                <w:sz w:val="24"/>
                <w:szCs w:val="24"/>
              </w:rPr>
            </w:pPr>
            <w:r>
              <w:rPr>
                <w:rFonts w:ascii="Arial" w:hAnsi="Arial" w:cs="Arial"/>
                <w:sz w:val="24"/>
                <w:szCs w:val="24"/>
              </w:rPr>
              <w:t>27</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C02935" w:rsidRDefault="00C02935" w:rsidP="00DC7D25">
            <w:pPr>
              <w:rPr>
                <w:rFonts w:ascii="Arial" w:hAnsi="Arial" w:cs="Arial"/>
                <w:sz w:val="24"/>
                <w:szCs w:val="24"/>
              </w:rPr>
            </w:pPr>
            <w:r>
              <w:rPr>
                <w:rFonts w:ascii="Arial" w:hAnsi="Arial" w:cs="Arial"/>
                <w:sz w:val="24"/>
                <w:szCs w:val="24"/>
              </w:rPr>
              <w:t>Sala de Juntas U.O</w:t>
            </w:r>
          </w:p>
        </w:tc>
      </w:tr>
      <w:tr w:rsidR="00DC7D25" w:rsidRPr="00DC7D25" w:rsidTr="00832382">
        <w:trPr>
          <w:trHeight w:val="422"/>
        </w:trPr>
        <w:tc>
          <w:tcPr>
            <w:tcW w:w="2495"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2124" w:type="dxa"/>
            <w:gridSpan w:val="2"/>
            <w:vAlign w:val="center"/>
          </w:tcPr>
          <w:p w:rsidR="00DC7D25" w:rsidRPr="00DC7D25" w:rsidRDefault="00C02935" w:rsidP="00CC5EA2">
            <w:pPr>
              <w:jc w:val="center"/>
              <w:rPr>
                <w:rFonts w:ascii="Arial" w:hAnsi="Arial" w:cs="Arial"/>
                <w:sz w:val="24"/>
                <w:szCs w:val="24"/>
              </w:rPr>
            </w:pPr>
            <w:r>
              <w:rPr>
                <w:rFonts w:ascii="Arial" w:hAnsi="Arial" w:cs="Arial"/>
                <w:sz w:val="24"/>
                <w:szCs w:val="24"/>
              </w:rPr>
              <w:t>10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C02935" w:rsidP="00CC5EA2">
            <w:pPr>
              <w:jc w:val="center"/>
              <w:rPr>
                <w:rFonts w:ascii="Arial" w:hAnsi="Arial" w:cs="Arial"/>
                <w:sz w:val="24"/>
                <w:szCs w:val="24"/>
              </w:rPr>
            </w:pPr>
            <w:r>
              <w:rPr>
                <w:rFonts w:ascii="Arial" w:hAnsi="Arial" w:cs="Arial"/>
                <w:sz w:val="24"/>
                <w:szCs w:val="24"/>
              </w:rPr>
              <w:t>11 am</w:t>
            </w:r>
          </w:p>
        </w:tc>
      </w:tr>
      <w:tr w:rsidR="00CC5EA2" w:rsidRPr="00DC7D25" w:rsidTr="00832382">
        <w:trPr>
          <w:trHeight w:val="544"/>
        </w:trPr>
        <w:tc>
          <w:tcPr>
            <w:tcW w:w="2495"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719"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CC5EA2" w:rsidRPr="00DC7D25" w:rsidTr="00832382">
        <w:tc>
          <w:tcPr>
            <w:tcW w:w="2495" w:type="dxa"/>
            <w:gridSpan w:val="2"/>
            <w:vAlign w:val="center"/>
          </w:tcPr>
          <w:p w:rsidR="00CC5EA2" w:rsidRPr="00DC7D25" w:rsidRDefault="00C02935" w:rsidP="00312BCB">
            <w:pPr>
              <w:jc w:val="both"/>
              <w:rPr>
                <w:rFonts w:ascii="Arial" w:hAnsi="Arial" w:cs="Arial"/>
                <w:sz w:val="24"/>
                <w:szCs w:val="24"/>
              </w:rPr>
            </w:pPr>
            <w:r>
              <w:rPr>
                <w:rFonts w:ascii="Arial" w:hAnsi="Arial" w:cs="Arial"/>
                <w:sz w:val="24"/>
                <w:szCs w:val="24"/>
              </w:rPr>
              <w:t>Incremento en la facturación para clientes con renovación de contratos no automática</w:t>
            </w:r>
          </w:p>
        </w:tc>
        <w:tc>
          <w:tcPr>
            <w:tcW w:w="6719" w:type="dxa"/>
            <w:gridSpan w:val="6"/>
          </w:tcPr>
          <w:p w:rsidR="00CC5EA2" w:rsidRPr="00DC7D25" w:rsidRDefault="00C02935" w:rsidP="00706C71">
            <w:pPr>
              <w:pStyle w:val="Prrafodelista"/>
              <w:numPr>
                <w:ilvl w:val="0"/>
                <w:numId w:val="1"/>
              </w:numPr>
              <w:jc w:val="both"/>
              <w:rPr>
                <w:rFonts w:ascii="Arial" w:hAnsi="Arial" w:cs="Arial"/>
                <w:sz w:val="24"/>
                <w:szCs w:val="24"/>
              </w:rPr>
            </w:pPr>
            <w:r>
              <w:rPr>
                <w:rFonts w:ascii="Arial" w:hAnsi="Arial" w:cs="Arial"/>
                <w:sz w:val="24"/>
                <w:szCs w:val="24"/>
              </w:rPr>
              <w:t>A</w:t>
            </w:r>
            <w:r w:rsidR="00706C71">
              <w:rPr>
                <w:rFonts w:ascii="Arial" w:hAnsi="Arial" w:cs="Arial"/>
                <w:sz w:val="24"/>
                <w:szCs w:val="24"/>
              </w:rPr>
              <w:t xml:space="preserve"> </w:t>
            </w:r>
            <w:r>
              <w:rPr>
                <w:rFonts w:ascii="Arial" w:hAnsi="Arial" w:cs="Arial"/>
                <w:sz w:val="24"/>
                <w:szCs w:val="24"/>
              </w:rPr>
              <w:t>razón de la no conformidad presentada en días pasados por el cliente N</w:t>
            </w:r>
            <w:r w:rsidR="00706C71">
              <w:rPr>
                <w:rFonts w:ascii="Arial" w:hAnsi="Arial" w:cs="Arial"/>
                <w:sz w:val="24"/>
                <w:szCs w:val="24"/>
              </w:rPr>
              <w:t>eocorp, en la cual manifiesta que</w:t>
            </w:r>
            <w:bookmarkStart w:id="0" w:name="_GoBack"/>
            <w:bookmarkEnd w:id="0"/>
            <w:r w:rsidR="00706C71">
              <w:rPr>
                <w:rFonts w:ascii="Arial" w:hAnsi="Arial" w:cs="Arial"/>
                <w:sz w:val="24"/>
                <w:szCs w:val="24"/>
              </w:rPr>
              <w:t xml:space="preserve"> no se le ha realizado el incremento correspondiente según cláusula de contrato de arrendamiento, por este concepto, misma que debió realizarse desde el mes de Agosto, se decide realizar la presente reunión, con el fin de esclarecer los roles de los procesos encargados de la emisión de dichos cobros y evitar que se repita la no conformidad:</w:t>
            </w:r>
          </w:p>
        </w:tc>
      </w:tr>
      <w:tr w:rsidR="00900684" w:rsidRPr="00DC7D25" w:rsidTr="00832382">
        <w:tc>
          <w:tcPr>
            <w:tcW w:w="2495" w:type="dxa"/>
            <w:gridSpan w:val="2"/>
            <w:vMerge w:val="restart"/>
            <w:vAlign w:val="center"/>
          </w:tcPr>
          <w:p w:rsidR="00900684" w:rsidRPr="00DC7D25" w:rsidRDefault="00900684" w:rsidP="00312BCB">
            <w:pPr>
              <w:jc w:val="both"/>
              <w:rPr>
                <w:rFonts w:ascii="Arial" w:hAnsi="Arial" w:cs="Arial"/>
                <w:sz w:val="24"/>
                <w:szCs w:val="24"/>
              </w:rPr>
            </w:pPr>
            <w:r>
              <w:rPr>
                <w:rFonts w:ascii="Arial" w:hAnsi="Arial" w:cs="Arial"/>
                <w:sz w:val="24"/>
                <w:szCs w:val="24"/>
              </w:rPr>
              <w:t>Paso a paso</w:t>
            </w:r>
          </w:p>
        </w:tc>
        <w:tc>
          <w:tcPr>
            <w:tcW w:w="6719" w:type="dxa"/>
            <w:gridSpan w:val="6"/>
          </w:tcPr>
          <w:p w:rsidR="00900684" w:rsidRPr="00DC7D25" w:rsidRDefault="00900684" w:rsidP="00312BCB">
            <w:pPr>
              <w:pStyle w:val="Prrafodelista"/>
              <w:numPr>
                <w:ilvl w:val="0"/>
                <w:numId w:val="1"/>
              </w:numPr>
              <w:jc w:val="both"/>
              <w:rPr>
                <w:rFonts w:ascii="Arial" w:hAnsi="Arial" w:cs="Arial"/>
                <w:sz w:val="24"/>
                <w:szCs w:val="24"/>
              </w:rPr>
            </w:pPr>
            <w:r>
              <w:rPr>
                <w:rFonts w:ascii="Arial" w:hAnsi="Arial" w:cs="Arial"/>
                <w:sz w:val="24"/>
                <w:szCs w:val="24"/>
              </w:rPr>
              <w:t xml:space="preserve">El proceso </w:t>
            </w:r>
            <w:r w:rsidRPr="00E1247E">
              <w:rPr>
                <w:rFonts w:ascii="Arial" w:hAnsi="Arial" w:cs="Arial"/>
                <w:b/>
                <w:sz w:val="24"/>
                <w:szCs w:val="24"/>
              </w:rPr>
              <w:t>Jurídico</w:t>
            </w:r>
            <w:r>
              <w:rPr>
                <w:rFonts w:ascii="Arial" w:hAnsi="Arial" w:cs="Arial"/>
                <w:sz w:val="24"/>
                <w:szCs w:val="24"/>
              </w:rPr>
              <w:t xml:space="preserve">, quien es el receptor directo de la aceptación de renovación de contrato por parte del cliente, </w:t>
            </w:r>
            <w:r w:rsidRPr="00E1247E">
              <w:rPr>
                <w:rFonts w:ascii="Arial" w:hAnsi="Arial" w:cs="Arial"/>
                <w:b/>
                <w:sz w:val="24"/>
                <w:szCs w:val="24"/>
              </w:rPr>
              <w:t>deberá</w:t>
            </w:r>
            <w:r>
              <w:rPr>
                <w:rFonts w:ascii="Arial" w:hAnsi="Arial" w:cs="Arial"/>
                <w:sz w:val="24"/>
                <w:szCs w:val="24"/>
              </w:rPr>
              <w:t xml:space="preserve"> informar al proceso de Gestión Comercial y de Servicio al Cliente, mediante medio verificable dicha aceptación.</w:t>
            </w:r>
          </w:p>
        </w:tc>
      </w:tr>
      <w:tr w:rsidR="00900684" w:rsidRPr="00DC7D25" w:rsidTr="00832382">
        <w:tc>
          <w:tcPr>
            <w:tcW w:w="2495" w:type="dxa"/>
            <w:gridSpan w:val="2"/>
            <w:vMerge/>
            <w:vAlign w:val="center"/>
          </w:tcPr>
          <w:p w:rsidR="00900684" w:rsidRPr="00DC7D25" w:rsidRDefault="00900684" w:rsidP="00312BCB">
            <w:pPr>
              <w:jc w:val="both"/>
              <w:rPr>
                <w:rFonts w:ascii="Arial" w:hAnsi="Arial" w:cs="Arial"/>
                <w:sz w:val="24"/>
                <w:szCs w:val="24"/>
              </w:rPr>
            </w:pPr>
          </w:p>
        </w:tc>
        <w:tc>
          <w:tcPr>
            <w:tcW w:w="6719" w:type="dxa"/>
            <w:gridSpan w:val="6"/>
          </w:tcPr>
          <w:p w:rsidR="00900684" w:rsidRPr="00DC7D25" w:rsidRDefault="00900684" w:rsidP="0022357E">
            <w:pPr>
              <w:pStyle w:val="Prrafodelista"/>
              <w:numPr>
                <w:ilvl w:val="0"/>
                <w:numId w:val="1"/>
              </w:numPr>
              <w:jc w:val="both"/>
              <w:rPr>
                <w:rFonts w:ascii="Arial" w:hAnsi="Arial" w:cs="Arial"/>
                <w:sz w:val="24"/>
                <w:szCs w:val="24"/>
              </w:rPr>
            </w:pPr>
            <w:r>
              <w:rPr>
                <w:rFonts w:ascii="Arial" w:hAnsi="Arial" w:cs="Arial"/>
                <w:sz w:val="24"/>
                <w:szCs w:val="24"/>
              </w:rPr>
              <w:t xml:space="preserve">El proceso de Gestión </w:t>
            </w:r>
            <w:r w:rsidRPr="00E1247E">
              <w:rPr>
                <w:rFonts w:ascii="Arial" w:hAnsi="Arial" w:cs="Arial"/>
                <w:b/>
                <w:sz w:val="24"/>
                <w:szCs w:val="24"/>
              </w:rPr>
              <w:t>Comercial y de Servicio</w:t>
            </w:r>
            <w:r>
              <w:rPr>
                <w:rFonts w:ascii="Arial" w:hAnsi="Arial" w:cs="Arial"/>
                <w:sz w:val="24"/>
                <w:szCs w:val="24"/>
              </w:rPr>
              <w:t xml:space="preserve"> al Cliente, después de la recepción de la aceptación enviada por el proceso Jurídico, </w:t>
            </w:r>
            <w:r w:rsidRPr="00E1247E">
              <w:rPr>
                <w:rFonts w:ascii="Arial" w:hAnsi="Arial" w:cs="Arial"/>
                <w:b/>
                <w:sz w:val="24"/>
                <w:szCs w:val="24"/>
              </w:rPr>
              <w:t>debe</w:t>
            </w:r>
            <w:r>
              <w:rPr>
                <w:rFonts w:ascii="Arial" w:hAnsi="Arial" w:cs="Arial"/>
                <w:sz w:val="24"/>
                <w:szCs w:val="24"/>
              </w:rPr>
              <w:t xml:space="preserve"> verificar los valores correspondientes en la base de datos y aplicar el incremento a esta, </w:t>
            </w:r>
            <w:r w:rsidRPr="00E1247E">
              <w:rPr>
                <w:rFonts w:ascii="Arial" w:hAnsi="Arial" w:cs="Arial"/>
                <w:b/>
                <w:sz w:val="24"/>
                <w:szCs w:val="24"/>
              </w:rPr>
              <w:t>indistintamente de que exista o no un documento formal firmado por las partes (Otro Sí)</w:t>
            </w:r>
            <w:r>
              <w:rPr>
                <w:rFonts w:ascii="Arial" w:hAnsi="Arial" w:cs="Arial"/>
                <w:sz w:val="24"/>
                <w:szCs w:val="24"/>
              </w:rPr>
              <w:t>, posteriormente debe socializar los cambios con la Auxiliar Administrativa.</w:t>
            </w:r>
          </w:p>
        </w:tc>
      </w:tr>
      <w:tr w:rsidR="00900684" w:rsidRPr="00DC7D25" w:rsidTr="00832382">
        <w:tc>
          <w:tcPr>
            <w:tcW w:w="2495" w:type="dxa"/>
            <w:gridSpan w:val="2"/>
            <w:vMerge/>
            <w:vAlign w:val="center"/>
          </w:tcPr>
          <w:p w:rsidR="00900684" w:rsidRPr="00DC7D25" w:rsidRDefault="00900684" w:rsidP="00312BCB">
            <w:pPr>
              <w:jc w:val="both"/>
              <w:rPr>
                <w:rFonts w:ascii="Arial" w:hAnsi="Arial" w:cs="Arial"/>
                <w:sz w:val="24"/>
                <w:szCs w:val="24"/>
              </w:rPr>
            </w:pPr>
          </w:p>
        </w:tc>
        <w:tc>
          <w:tcPr>
            <w:tcW w:w="6719" w:type="dxa"/>
            <w:gridSpan w:val="6"/>
          </w:tcPr>
          <w:p w:rsidR="00900684" w:rsidRPr="00DC7D25" w:rsidRDefault="00900684" w:rsidP="00312BCB">
            <w:pPr>
              <w:pStyle w:val="Prrafodelista"/>
              <w:numPr>
                <w:ilvl w:val="0"/>
                <w:numId w:val="1"/>
              </w:numPr>
              <w:jc w:val="both"/>
              <w:rPr>
                <w:rFonts w:ascii="Arial" w:hAnsi="Arial" w:cs="Arial"/>
                <w:sz w:val="24"/>
                <w:szCs w:val="24"/>
              </w:rPr>
            </w:pPr>
            <w:r>
              <w:rPr>
                <w:rFonts w:ascii="Arial" w:hAnsi="Arial" w:cs="Arial"/>
                <w:sz w:val="24"/>
                <w:szCs w:val="24"/>
              </w:rPr>
              <w:t xml:space="preserve">La </w:t>
            </w:r>
            <w:r w:rsidRPr="00E1247E">
              <w:rPr>
                <w:rFonts w:ascii="Arial" w:hAnsi="Arial" w:cs="Arial"/>
                <w:b/>
                <w:sz w:val="24"/>
                <w:szCs w:val="24"/>
              </w:rPr>
              <w:t xml:space="preserve">Auxiliar Administrativa debe </w:t>
            </w:r>
            <w:r>
              <w:rPr>
                <w:rFonts w:ascii="Arial" w:hAnsi="Arial" w:cs="Arial"/>
                <w:sz w:val="24"/>
                <w:szCs w:val="24"/>
              </w:rPr>
              <w:t xml:space="preserve">ceñirse a la información contenida en la base de datos socializada por el proceso Comercial y aplicar en la siguiente orden de facturación o la que corresponda el incremento aplicable al cliente, posterior a esto </w:t>
            </w:r>
            <w:r w:rsidRPr="00E1247E">
              <w:rPr>
                <w:rFonts w:ascii="Arial" w:hAnsi="Arial" w:cs="Arial"/>
                <w:b/>
                <w:sz w:val="24"/>
                <w:szCs w:val="24"/>
              </w:rPr>
              <w:t>debe</w:t>
            </w:r>
            <w:r>
              <w:rPr>
                <w:rFonts w:ascii="Arial" w:hAnsi="Arial" w:cs="Arial"/>
                <w:sz w:val="24"/>
                <w:szCs w:val="24"/>
              </w:rPr>
              <w:t xml:space="preserve">  hacer entrega de la orden de facturación al proceso comercial para su respectiva verificación y aprobación.</w:t>
            </w:r>
          </w:p>
        </w:tc>
      </w:tr>
      <w:tr w:rsidR="00900684" w:rsidRPr="00DC7D25" w:rsidTr="00832382">
        <w:tc>
          <w:tcPr>
            <w:tcW w:w="2495" w:type="dxa"/>
            <w:gridSpan w:val="2"/>
            <w:vMerge/>
            <w:vAlign w:val="center"/>
          </w:tcPr>
          <w:p w:rsidR="00900684" w:rsidRPr="00DC7D25" w:rsidRDefault="00900684" w:rsidP="00312BCB">
            <w:pPr>
              <w:jc w:val="both"/>
              <w:rPr>
                <w:rFonts w:ascii="Arial" w:hAnsi="Arial" w:cs="Arial"/>
                <w:sz w:val="24"/>
                <w:szCs w:val="24"/>
              </w:rPr>
            </w:pPr>
          </w:p>
        </w:tc>
        <w:tc>
          <w:tcPr>
            <w:tcW w:w="6719" w:type="dxa"/>
            <w:gridSpan w:val="6"/>
          </w:tcPr>
          <w:p w:rsidR="00900684" w:rsidRPr="00DC7D25" w:rsidRDefault="00900684" w:rsidP="000E08C4">
            <w:pPr>
              <w:pStyle w:val="Prrafodelista"/>
              <w:numPr>
                <w:ilvl w:val="0"/>
                <w:numId w:val="1"/>
              </w:numPr>
              <w:jc w:val="both"/>
              <w:rPr>
                <w:rFonts w:ascii="Arial" w:hAnsi="Arial" w:cs="Arial"/>
                <w:sz w:val="24"/>
                <w:szCs w:val="24"/>
              </w:rPr>
            </w:pPr>
            <w:r>
              <w:rPr>
                <w:rFonts w:ascii="Arial" w:hAnsi="Arial" w:cs="Arial"/>
                <w:sz w:val="24"/>
                <w:szCs w:val="24"/>
              </w:rPr>
              <w:t xml:space="preserve">El Procesos Comercial debe verificar que el incremento aplicado en la orden de facturación sea acorde a los establecidos en el contrato de arrendamiento del cliente, así mismo deberá informar </w:t>
            </w:r>
            <w:r>
              <w:rPr>
                <w:rFonts w:ascii="Arial" w:hAnsi="Arial" w:cs="Arial"/>
                <w:sz w:val="24"/>
                <w:szCs w:val="24"/>
              </w:rPr>
              <w:lastRenderedPageBreak/>
              <w:t>al cliente, que de acuerdo a la aceptación de renovación se le empezará a cobrar el incremento correspondiente a partir de la fecha en que aplique.</w:t>
            </w:r>
          </w:p>
        </w:tc>
      </w:tr>
      <w:tr w:rsidR="00900684" w:rsidRPr="00DC7D25" w:rsidTr="00832382">
        <w:tc>
          <w:tcPr>
            <w:tcW w:w="2495" w:type="dxa"/>
            <w:gridSpan w:val="2"/>
            <w:vMerge/>
            <w:vAlign w:val="center"/>
          </w:tcPr>
          <w:p w:rsidR="00900684" w:rsidRPr="00DC7D25" w:rsidRDefault="00900684" w:rsidP="00312BCB">
            <w:pPr>
              <w:jc w:val="both"/>
              <w:rPr>
                <w:rFonts w:ascii="Arial" w:hAnsi="Arial" w:cs="Arial"/>
                <w:sz w:val="24"/>
                <w:szCs w:val="24"/>
              </w:rPr>
            </w:pPr>
          </w:p>
        </w:tc>
        <w:tc>
          <w:tcPr>
            <w:tcW w:w="6719" w:type="dxa"/>
            <w:gridSpan w:val="6"/>
          </w:tcPr>
          <w:p w:rsidR="00900684" w:rsidRDefault="00900684" w:rsidP="00BF6691">
            <w:pPr>
              <w:pStyle w:val="Prrafodelista"/>
              <w:numPr>
                <w:ilvl w:val="0"/>
                <w:numId w:val="1"/>
              </w:numPr>
              <w:jc w:val="both"/>
              <w:rPr>
                <w:rFonts w:ascii="Arial" w:hAnsi="Arial" w:cs="Arial"/>
                <w:sz w:val="24"/>
                <w:szCs w:val="24"/>
              </w:rPr>
            </w:pPr>
            <w:r>
              <w:rPr>
                <w:rFonts w:ascii="Arial" w:hAnsi="Arial" w:cs="Arial"/>
                <w:sz w:val="24"/>
                <w:szCs w:val="24"/>
              </w:rPr>
              <w:t>El proceso de Gestión Contable y Financiera, deberá realizar la facturación correspondiente, de acuerdo a la información contenida en la orden de facturación.</w:t>
            </w:r>
          </w:p>
        </w:tc>
      </w:tr>
      <w:tr w:rsidR="00E1247E" w:rsidRPr="00DC7D25" w:rsidTr="00832382">
        <w:tc>
          <w:tcPr>
            <w:tcW w:w="2495" w:type="dxa"/>
            <w:gridSpan w:val="2"/>
            <w:vMerge w:val="restart"/>
            <w:vAlign w:val="center"/>
          </w:tcPr>
          <w:p w:rsidR="00E1247E" w:rsidRPr="000E08C4" w:rsidRDefault="00E1247E" w:rsidP="00312BCB">
            <w:pPr>
              <w:jc w:val="both"/>
              <w:rPr>
                <w:rFonts w:ascii="Arial" w:hAnsi="Arial" w:cs="Arial"/>
                <w:b/>
                <w:sz w:val="24"/>
                <w:szCs w:val="24"/>
              </w:rPr>
            </w:pPr>
            <w:r w:rsidRPr="000E08C4">
              <w:rPr>
                <w:rFonts w:ascii="Arial" w:hAnsi="Arial" w:cs="Arial"/>
                <w:b/>
                <w:sz w:val="24"/>
                <w:szCs w:val="24"/>
              </w:rPr>
              <w:t>Anotaciones adicionales</w:t>
            </w:r>
          </w:p>
        </w:tc>
        <w:tc>
          <w:tcPr>
            <w:tcW w:w="6719" w:type="dxa"/>
            <w:gridSpan w:val="6"/>
          </w:tcPr>
          <w:p w:rsidR="00E1247E" w:rsidRPr="00DC7D25" w:rsidRDefault="00E1247E" w:rsidP="00312BCB">
            <w:pPr>
              <w:pStyle w:val="Prrafodelista"/>
              <w:numPr>
                <w:ilvl w:val="0"/>
                <w:numId w:val="1"/>
              </w:numPr>
              <w:jc w:val="both"/>
              <w:rPr>
                <w:rFonts w:ascii="Arial" w:hAnsi="Arial" w:cs="Arial"/>
                <w:sz w:val="24"/>
                <w:szCs w:val="24"/>
              </w:rPr>
            </w:pPr>
            <w:r>
              <w:rPr>
                <w:rFonts w:ascii="Arial" w:hAnsi="Arial" w:cs="Arial"/>
                <w:sz w:val="24"/>
                <w:szCs w:val="24"/>
              </w:rPr>
              <w:t xml:space="preserve">Cabe resaltar que </w:t>
            </w:r>
            <w:r w:rsidRPr="000E08C4">
              <w:rPr>
                <w:rFonts w:ascii="Arial" w:hAnsi="Arial" w:cs="Arial"/>
                <w:b/>
                <w:sz w:val="24"/>
                <w:szCs w:val="24"/>
              </w:rPr>
              <w:t>la aceptación de renovación emitida por el cliente debe presentarse mediante medio verificable (correo electrónico, carta u oficio),</w:t>
            </w:r>
            <w:r>
              <w:rPr>
                <w:rFonts w:ascii="Arial" w:hAnsi="Arial" w:cs="Arial"/>
                <w:sz w:val="24"/>
                <w:szCs w:val="24"/>
              </w:rPr>
              <w:t xml:space="preserve"> cuyo emisor deberá ser el Representante Legal del cliente o una persona con la autoridad suficiente para hacerlo.</w:t>
            </w:r>
          </w:p>
        </w:tc>
      </w:tr>
      <w:tr w:rsidR="00E1247E" w:rsidRPr="00DC7D25" w:rsidTr="00832382">
        <w:tc>
          <w:tcPr>
            <w:tcW w:w="2495" w:type="dxa"/>
            <w:gridSpan w:val="2"/>
            <w:vMerge/>
            <w:vAlign w:val="center"/>
          </w:tcPr>
          <w:p w:rsidR="00E1247E" w:rsidRPr="00DC7D25" w:rsidRDefault="00E1247E" w:rsidP="00312BCB">
            <w:pPr>
              <w:jc w:val="both"/>
              <w:rPr>
                <w:rFonts w:ascii="Arial" w:hAnsi="Arial" w:cs="Arial"/>
                <w:sz w:val="24"/>
                <w:szCs w:val="24"/>
              </w:rPr>
            </w:pPr>
          </w:p>
        </w:tc>
        <w:tc>
          <w:tcPr>
            <w:tcW w:w="6719" w:type="dxa"/>
            <w:gridSpan w:val="6"/>
          </w:tcPr>
          <w:p w:rsidR="00E1247E" w:rsidRPr="00DC7D25" w:rsidRDefault="00E1247E" w:rsidP="00312BCB">
            <w:pPr>
              <w:pStyle w:val="Prrafodelista"/>
              <w:numPr>
                <w:ilvl w:val="0"/>
                <w:numId w:val="1"/>
              </w:numPr>
              <w:jc w:val="both"/>
              <w:rPr>
                <w:rFonts w:ascii="Arial" w:hAnsi="Arial" w:cs="Arial"/>
                <w:sz w:val="24"/>
                <w:szCs w:val="24"/>
              </w:rPr>
            </w:pPr>
            <w:r>
              <w:rPr>
                <w:rFonts w:ascii="Arial" w:hAnsi="Arial" w:cs="Arial"/>
                <w:sz w:val="24"/>
                <w:szCs w:val="24"/>
              </w:rPr>
              <w:t xml:space="preserve">Se enfatiza en la necesidad de </w:t>
            </w:r>
            <w:r w:rsidRPr="000E08C4">
              <w:rPr>
                <w:rFonts w:ascii="Arial" w:hAnsi="Arial" w:cs="Arial"/>
                <w:b/>
                <w:sz w:val="24"/>
                <w:szCs w:val="24"/>
              </w:rPr>
              <w:t>realizar el incremento con la aceptación de renovación verificable enviada por el cliente, indistintamente de la existencia o no del “Otro sí”</w:t>
            </w:r>
            <w:r>
              <w:rPr>
                <w:rFonts w:ascii="Arial" w:hAnsi="Arial" w:cs="Arial"/>
                <w:sz w:val="24"/>
                <w:szCs w:val="24"/>
              </w:rPr>
              <w:t>, con el fin de evitar incurrir en No Conformidades similares y a su vez, evitar el cobro de retroactivos generando inconformidad en los clientes y retraso en los pagos de las facturas.</w:t>
            </w:r>
          </w:p>
        </w:tc>
      </w:tr>
      <w:tr w:rsidR="00E1247E" w:rsidRPr="00DC7D25" w:rsidTr="00832382">
        <w:tc>
          <w:tcPr>
            <w:tcW w:w="2495" w:type="dxa"/>
            <w:gridSpan w:val="2"/>
            <w:vMerge w:val="restart"/>
            <w:vAlign w:val="center"/>
          </w:tcPr>
          <w:p w:rsidR="00E1247E" w:rsidRPr="00DC7D25" w:rsidRDefault="00E1247E" w:rsidP="00312BCB">
            <w:pPr>
              <w:jc w:val="both"/>
              <w:rPr>
                <w:rFonts w:ascii="Arial" w:hAnsi="Arial" w:cs="Arial"/>
                <w:sz w:val="24"/>
                <w:szCs w:val="24"/>
              </w:rPr>
            </w:pPr>
            <w:r>
              <w:rPr>
                <w:rFonts w:ascii="Arial" w:hAnsi="Arial" w:cs="Arial"/>
                <w:b/>
                <w:sz w:val="24"/>
                <w:szCs w:val="24"/>
              </w:rPr>
              <w:t>Recomendaciones</w:t>
            </w:r>
          </w:p>
        </w:tc>
        <w:tc>
          <w:tcPr>
            <w:tcW w:w="6719" w:type="dxa"/>
            <w:gridSpan w:val="6"/>
          </w:tcPr>
          <w:p w:rsidR="00E1247E" w:rsidRDefault="00E1247E" w:rsidP="00312BCB">
            <w:pPr>
              <w:pStyle w:val="Prrafodelista"/>
              <w:numPr>
                <w:ilvl w:val="0"/>
                <w:numId w:val="1"/>
              </w:numPr>
              <w:jc w:val="both"/>
              <w:rPr>
                <w:rFonts w:ascii="Arial" w:hAnsi="Arial" w:cs="Arial"/>
                <w:sz w:val="24"/>
                <w:szCs w:val="24"/>
              </w:rPr>
            </w:pPr>
            <w:r>
              <w:rPr>
                <w:rFonts w:ascii="Arial" w:hAnsi="Arial" w:cs="Arial"/>
                <w:sz w:val="24"/>
                <w:szCs w:val="24"/>
              </w:rPr>
              <w:t>Es importante que por parte de del proceso de Gestión Jurídica, se realice el oportuno y correcto seguimiento, tanto a la elaboración y envío de los “Otros Sí”, como a la correspondiente devolución del documento firmado por el cliente, con el fin de evitar incurrir en incumplimientos de tipo legal, al presentarse la ausencia de dicho soporte.</w:t>
            </w:r>
          </w:p>
        </w:tc>
      </w:tr>
      <w:tr w:rsidR="00E1247E" w:rsidRPr="00DC7D25" w:rsidTr="00832382">
        <w:tc>
          <w:tcPr>
            <w:tcW w:w="2495" w:type="dxa"/>
            <w:gridSpan w:val="2"/>
            <w:vMerge/>
            <w:vAlign w:val="center"/>
          </w:tcPr>
          <w:p w:rsidR="00E1247E" w:rsidRPr="00E1247E" w:rsidRDefault="00E1247E" w:rsidP="00312BCB">
            <w:pPr>
              <w:jc w:val="both"/>
              <w:rPr>
                <w:rFonts w:ascii="Arial" w:hAnsi="Arial" w:cs="Arial"/>
                <w:b/>
                <w:sz w:val="24"/>
                <w:szCs w:val="24"/>
              </w:rPr>
            </w:pPr>
          </w:p>
        </w:tc>
        <w:tc>
          <w:tcPr>
            <w:tcW w:w="6719" w:type="dxa"/>
            <w:gridSpan w:val="6"/>
          </w:tcPr>
          <w:p w:rsidR="00E1247E" w:rsidRDefault="00E1247E" w:rsidP="00E1247E">
            <w:pPr>
              <w:pStyle w:val="Prrafodelista"/>
              <w:numPr>
                <w:ilvl w:val="0"/>
                <w:numId w:val="1"/>
              </w:numPr>
              <w:jc w:val="both"/>
              <w:rPr>
                <w:rFonts w:ascii="Arial" w:hAnsi="Arial" w:cs="Arial"/>
                <w:sz w:val="24"/>
                <w:szCs w:val="24"/>
              </w:rPr>
            </w:pPr>
            <w:r>
              <w:rPr>
                <w:rFonts w:ascii="Arial" w:hAnsi="Arial" w:cs="Arial"/>
                <w:sz w:val="24"/>
                <w:szCs w:val="24"/>
              </w:rPr>
              <w:t>Es importante que todos los responsables de los procesos participantes en la elaboración de la factura, incentiven el procesos de comunicación y de esta manera se mantenga un flujo de información actualizada entre las diferentes partes, procurando siempre el desarrollo del procesos de facturación de manera eficaz.</w:t>
            </w:r>
          </w:p>
        </w:tc>
      </w:tr>
    </w:tbl>
    <w:p w:rsidR="00CC5EA2" w:rsidRDefault="00CC5EA2"/>
    <w:tbl>
      <w:tblPr>
        <w:tblStyle w:val="Tablaconcuadrcula"/>
        <w:tblW w:w="9214" w:type="dxa"/>
        <w:tblInd w:w="-147" w:type="dxa"/>
        <w:tblLook w:val="04A0" w:firstRow="1" w:lastRow="0" w:firstColumn="1" w:lastColumn="0" w:noHBand="0" w:noVBand="1"/>
      </w:tblPr>
      <w:tblGrid>
        <w:gridCol w:w="4025"/>
        <w:gridCol w:w="1497"/>
        <w:gridCol w:w="1577"/>
        <w:gridCol w:w="2115"/>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BF6691">
        <w:tc>
          <w:tcPr>
            <w:tcW w:w="4025"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9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5"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CC5EA2" w:rsidRPr="00312BCB" w:rsidTr="00BF6691">
        <w:tc>
          <w:tcPr>
            <w:tcW w:w="4025" w:type="dxa"/>
          </w:tcPr>
          <w:p w:rsidR="00CC5EA2" w:rsidRPr="00312BCB" w:rsidRDefault="00BF6691" w:rsidP="00312BCB">
            <w:pPr>
              <w:jc w:val="both"/>
              <w:rPr>
                <w:rFonts w:ascii="Arial" w:hAnsi="Arial" w:cs="Arial"/>
                <w:sz w:val="24"/>
                <w:szCs w:val="24"/>
              </w:rPr>
            </w:pPr>
            <w:r>
              <w:rPr>
                <w:rFonts w:ascii="Arial" w:hAnsi="Arial" w:cs="Arial"/>
                <w:sz w:val="24"/>
                <w:szCs w:val="24"/>
              </w:rPr>
              <w:t xml:space="preserve">Enviar la aceptación de renovación de los clientes al área </w:t>
            </w:r>
            <w:r w:rsidR="00900684">
              <w:rPr>
                <w:rFonts w:ascii="Arial" w:hAnsi="Arial" w:cs="Arial"/>
                <w:sz w:val="24"/>
                <w:szCs w:val="24"/>
              </w:rPr>
              <w:t>C</w:t>
            </w:r>
            <w:r>
              <w:rPr>
                <w:rFonts w:ascii="Arial" w:hAnsi="Arial" w:cs="Arial"/>
                <w:sz w:val="24"/>
                <w:szCs w:val="24"/>
              </w:rPr>
              <w:t>omercial</w:t>
            </w:r>
          </w:p>
        </w:tc>
        <w:tc>
          <w:tcPr>
            <w:tcW w:w="1497" w:type="dxa"/>
            <w:vAlign w:val="center"/>
          </w:tcPr>
          <w:p w:rsidR="00CC5EA2" w:rsidRPr="00312BCB" w:rsidRDefault="00BF6691" w:rsidP="00312BCB">
            <w:pPr>
              <w:jc w:val="center"/>
              <w:rPr>
                <w:rFonts w:ascii="Arial" w:hAnsi="Arial" w:cs="Arial"/>
                <w:sz w:val="24"/>
                <w:szCs w:val="24"/>
              </w:rPr>
            </w:pPr>
            <w:r>
              <w:rPr>
                <w:rFonts w:ascii="Arial" w:hAnsi="Arial" w:cs="Arial"/>
                <w:sz w:val="24"/>
                <w:szCs w:val="24"/>
              </w:rPr>
              <w:t>permanente</w:t>
            </w:r>
          </w:p>
        </w:tc>
        <w:tc>
          <w:tcPr>
            <w:tcW w:w="1577" w:type="dxa"/>
            <w:vAlign w:val="center"/>
          </w:tcPr>
          <w:p w:rsidR="00CC5EA2" w:rsidRPr="00312BCB" w:rsidRDefault="00BF6691" w:rsidP="00312BCB">
            <w:pPr>
              <w:jc w:val="center"/>
              <w:rPr>
                <w:rFonts w:ascii="Arial" w:hAnsi="Arial" w:cs="Arial"/>
                <w:sz w:val="24"/>
                <w:szCs w:val="24"/>
              </w:rPr>
            </w:pPr>
            <w:r>
              <w:rPr>
                <w:rFonts w:ascii="Arial" w:hAnsi="Arial" w:cs="Arial"/>
                <w:sz w:val="24"/>
                <w:szCs w:val="24"/>
              </w:rPr>
              <w:t>N/A</w:t>
            </w:r>
          </w:p>
        </w:tc>
        <w:tc>
          <w:tcPr>
            <w:tcW w:w="2115" w:type="dxa"/>
            <w:vAlign w:val="center"/>
          </w:tcPr>
          <w:p w:rsidR="00CC5EA2" w:rsidRPr="00312BCB" w:rsidRDefault="00BF6691" w:rsidP="00312BCB">
            <w:pPr>
              <w:jc w:val="center"/>
              <w:rPr>
                <w:rFonts w:ascii="Arial" w:hAnsi="Arial" w:cs="Arial"/>
                <w:sz w:val="24"/>
                <w:szCs w:val="24"/>
              </w:rPr>
            </w:pPr>
            <w:r>
              <w:rPr>
                <w:rFonts w:ascii="Arial" w:hAnsi="Arial" w:cs="Arial"/>
                <w:sz w:val="24"/>
                <w:szCs w:val="24"/>
              </w:rPr>
              <w:t>Dir. Jurídica</w:t>
            </w:r>
          </w:p>
        </w:tc>
      </w:tr>
      <w:tr w:rsidR="00BF6691" w:rsidRPr="00312BCB" w:rsidTr="00BF6691">
        <w:tc>
          <w:tcPr>
            <w:tcW w:w="4025" w:type="dxa"/>
          </w:tcPr>
          <w:p w:rsidR="00BF6691" w:rsidRPr="00312BCB" w:rsidRDefault="00BF6691" w:rsidP="00BF6691">
            <w:pPr>
              <w:jc w:val="both"/>
              <w:rPr>
                <w:rFonts w:ascii="Arial" w:hAnsi="Arial" w:cs="Arial"/>
                <w:sz w:val="24"/>
                <w:szCs w:val="24"/>
              </w:rPr>
            </w:pPr>
            <w:r>
              <w:rPr>
                <w:rFonts w:ascii="Arial" w:hAnsi="Arial" w:cs="Arial"/>
                <w:sz w:val="24"/>
                <w:szCs w:val="24"/>
              </w:rPr>
              <w:lastRenderedPageBreak/>
              <w:t>Actualizar la base de datos de los incrementos y socializar con la Auxiliar Administrativa</w:t>
            </w:r>
          </w:p>
        </w:tc>
        <w:tc>
          <w:tcPr>
            <w:tcW w:w="1497" w:type="dxa"/>
            <w:vAlign w:val="center"/>
          </w:tcPr>
          <w:p w:rsidR="00BF6691" w:rsidRPr="00312BCB" w:rsidRDefault="00BF6691" w:rsidP="00BF6691">
            <w:pPr>
              <w:jc w:val="center"/>
              <w:rPr>
                <w:rFonts w:ascii="Arial" w:hAnsi="Arial" w:cs="Arial"/>
                <w:sz w:val="24"/>
                <w:szCs w:val="24"/>
              </w:rPr>
            </w:pPr>
            <w:r>
              <w:rPr>
                <w:rFonts w:ascii="Arial" w:hAnsi="Arial" w:cs="Arial"/>
                <w:sz w:val="24"/>
                <w:szCs w:val="24"/>
              </w:rPr>
              <w:t>permanente</w:t>
            </w:r>
          </w:p>
        </w:tc>
        <w:tc>
          <w:tcPr>
            <w:tcW w:w="1577" w:type="dxa"/>
            <w:vAlign w:val="center"/>
          </w:tcPr>
          <w:p w:rsidR="00BF6691" w:rsidRPr="00312BCB" w:rsidRDefault="00BF6691" w:rsidP="00BF6691">
            <w:pPr>
              <w:jc w:val="center"/>
              <w:rPr>
                <w:rFonts w:ascii="Arial" w:hAnsi="Arial" w:cs="Arial"/>
                <w:sz w:val="24"/>
                <w:szCs w:val="24"/>
              </w:rPr>
            </w:pPr>
            <w:r>
              <w:rPr>
                <w:rFonts w:ascii="Arial" w:hAnsi="Arial" w:cs="Arial"/>
                <w:sz w:val="24"/>
                <w:szCs w:val="24"/>
              </w:rPr>
              <w:t>N/A</w:t>
            </w:r>
          </w:p>
        </w:tc>
        <w:tc>
          <w:tcPr>
            <w:tcW w:w="2115" w:type="dxa"/>
            <w:vAlign w:val="center"/>
          </w:tcPr>
          <w:p w:rsidR="00BF6691" w:rsidRPr="00312BCB" w:rsidRDefault="00BF6691" w:rsidP="00BF6691">
            <w:pPr>
              <w:jc w:val="center"/>
              <w:rPr>
                <w:rFonts w:ascii="Arial" w:hAnsi="Arial" w:cs="Arial"/>
                <w:sz w:val="24"/>
                <w:szCs w:val="24"/>
              </w:rPr>
            </w:pPr>
            <w:r>
              <w:rPr>
                <w:rFonts w:ascii="Arial" w:hAnsi="Arial" w:cs="Arial"/>
                <w:sz w:val="24"/>
                <w:szCs w:val="24"/>
              </w:rPr>
              <w:t>Coord. CSC</w:t>
            </w:r>
          </w:p>
        </w:tc>
      </w:tr>
      <w:tr w:rsidR="00BF6691" w:rsidRPr="00312BCB" w:rsidTr="00BF6691">
        <w:tc>
          <w:tcPr>
            <w:tcW w:w="4025" w:type="dxa"/>
          </w:tcPr>
          <w:p w:rsidR="00BF6691" w:rsidRPr="00312BCB" w:rsidRDefault="00BF6691" w:rsidP="00BF6691">
            <w:pPr>
              <w:jc w:val="both"/>
              <w:rPr>
                <w:rFonts w:ascii="Arial" w:hAnsi="Arial" w:cs="Arial"/>
                <w:sz w:val="24"/>
                <w:szCs w:val="24"/>
              </w:rPr>
            </w:pPr>
            <w:r>
              <w:rPr>
                <w:rFonts w:ascii="Arial" w:hAnsi="Arial" w:cs="Arial"/>
                <w:sz w:val="24"/>
                <w:szCs w:val="24"/>
              </w:rPr>
              <w:t xml:space="preserve">Efectuar las </w:t>
            </w:r>
            <w:r w:rsidR="000E08C4">
              <w:rPr>
                <w:rFonts w:ascii="Arial" w:hAnsi="Arial" w:cs="Arial"/>
                <w:sz w:val="24"/>
                <w:szCs w:val="24"/>
              </w:rPr>
              <w:t>Órdenes</w:t>
            </w:r>
            <w:r>
              <w:rPr>
                <w:rFonts w:ascii="Arial" w:hAnsi="Arial" w:cs="Arial"/>
                <w:sz w:val="24"/>
                <w:szCs w:val="24"/>
              </w:rPr>
              <w:t xml:space="preserve"> de Facturaci</w:t>
            </w:r>
            <w:r w:rsidR="000E08C4">
              <w:rPr>
                <w:rFonts w:ascii="Arial" w:hAnsi="Arial" w:cs="Arial"/>
                <w:sz w:val="24"/>
                <w:szCs w:val="24"/>
              </w:rPr>
              <w:t>ón, de acuerdo a la información socializada por el Proceso Comercial.</w:t>
            </w:r>
          </w:p>
        </w:tc>
        <w:tc>
          <w:tcPr>
            <w:tcW w:w="1497" w:type="dxa"/>
            <w:vAlign w:val="center"/>
          </w:tcPr>
          <w:p w:rsidR="00BF6691" w:rsidRPr="00312BCB" w:rsidRDefault="000E08C4" w:rsidP="00BF6691">
            <w:pPr>
              <w:jc w:val="center"/>
              <w:rPr>
                <w:rFonts w:ascii="Arial" w:hAnsi="Arial" w:cs="Arial"/>
                <w:sz w:val="24"/>
                <w:szCs w:val="24"/>
              </w:rPr>
            </w:pPr>
            <w:r>
              <w:rPr>
                <w:rFonts w:ascii="Arial" w:hAnsi="Arial" w:cs="Arial"/>
                <w:sz w:val="24"/>
                <w:szCs w:val="24"/>
              </w:rPr>
              <w:t>permanente</w:t>
            </w:r>
          </w:p>
        </w:tc>
        <w:tc>
          <w:tcPr>
            <w:tcW w:w="1577" w:type="dxa"/>
            <w:vAlign w:val="center"/>
          </w:tcPr>
          <w:p w:rsidR="00BF6691" w:rsidRPr="00312BCB" w:rsidRDefault="000E08C4" w:rsidP="00BF6691">
            <w:pPr>
              <w:jc w:val="center"/>
              <w:rPr>
                <w:rFonts w:ascii="Arial" w:hAnsi="Arial" w:cs="Arial"/>
                <w:sz w:val="24"/>
                <w:szCs w:val="24"/>
              </w:rPr>
            </w:pPr>
            <w:r>
              <w:rPr>
                <w:rFonts w:ascii="Arial" w:hAnsi="Arial" w:cs="Arial"/>
                <w:sz w:val="24"/>
                <w:szCs w:val="24"/>
              </w:rPr>
              <w:t>N/A</w:t>
            </w:r>
          </w:p>
        </w:tc>
        <w:tc>
          <w:tcPr>
            <w:tcW w:w="2115" w:type="dxa"/>
            <w:vAlign w:val="center"/>
          </w:tcPr>
          <w:p w:rsidR="00BF6691" w:rsidRPr="00312BCB" w:rsidRDefault="000E08C4" w:rsidP="00BF6691">
            <w:pPr>
              <w:jc w:val="center"/>
              <w:rPr>
                <w:rFonts w:ascii="Arial" w:hAnsi="Arial" w:cs="Arial"/>
                <w:sz w:val="24"/>
                <w:szCs w:val="24"/>
              </w:rPr>
            </w:pPr>
            <w:proofErr w:type="spellStart"/>
            <w:r>
              <w:rPr>
                <w:rFonts w:ascii="Arial" w:hAnsi="Arial" w:cs="Arial"/>
                <w:sz w:val="24"/>
                <w:szCs w:val="24"/>
              </w:rPr>
              <w:t>Aux</w:t>
            </w:r>
            <w:proofErr w:type="spellEnd"/>
            <w:r>
              <w:rPr>
                <w:rFonts w:ascii="Arial" w:hAnsi="Arial" w:cs="Arial"/>
                <w:sz w:val="24"/>
                <w:szCs w:val="24"/>
              </w:rPr>
              <w:t>. Administrativa</w:t>
            </w:r>
          </w:p>
        </w:tc>
      </w:tr>
      <w:tr w:rsidR="000E08C4" w:rsidRPr="00312BCB" w:rsidTr="00BF6691">
        <w:tc>
          <w:tcPr>
            <w:tcW w:w="4025" w:type="dxa"/>
          </w:tcPr>
          <w:p w:rsidR="000E08C4" w:rsidRPr="00312BCB" w:rsidRDefault="000E08C4" w:rsidP="000E08C4">
            <w:pPr>
              <w:jc w:val="both"/>
              <w:rPr>
                <w:rFonts w:ascii="Arial" w:hAnsi="Arial" w:cs="Arial"/>
                <w:sz w:val="24"/>
                <w:szCs w:val="24"/>
              </w:rPr>
            </w:pPr>
            <w:r>
              <w:rPr>
                <w:rFonts w:ascii="Arial" w:hAnsi="Arial" w:cs="Arial"/>
                <w:sz w:val="24"/>
                <w:szCs w:val="24"/>
              </w:rPr>
              <w:t>Verificar y aprobar las ordenes de facturación</w:t>
            </w:r>
          </w:p>
        </w:tc>
        <w:tc>
          <w:tcPr>
            <w:tcW w:w="1497" w:type="dxa"/>
            <w:vAlign w:val="center"/>
          </w:tcPr>
          <w:p w:rsidR="000E08C4" w:rsidRPr="00312BCB" w:rsidRDefault="000E08C4" w:rsidP="000E08C4">
            <w:pPr>
              <w:jc w:val="center"/>
              <w:rPr>
                <w:rFonts w:ascii="Arial" w:hAnsi="Arial" w:cs="Arial"/>
                <w:sz w:val="24"/>
                <w:szCs w:val="24"/>
              </w:rPr>
            </w:pPr>
            <w:r>
              <w:rPr>
                <w:rFonts w:ascii="Arial" w:hAnsi="Arial" w:cs="Arial"/>
                <w:sz w:val="24"/>
                <w:szCs w:val="24"/>
              </w:rPr>
              <w:t>permanente</w:t>
            </w:r>
          </w:p>
        </w:tc>
        <w:tc>
          <w:tcPr>
            <w:tcW w:w="1577" w:type="dxa"/>
            <w:vAlign w:val="center"/>
          </w:tcPr>
          <w:p w:rsidR="000E08C4" w:rsidRPr="00312BCB" w:rsidRDefault="000E08C4" w:rsidP="000E08C4">
            <w:pPr>
              <w:jc w:val="center"/>
              <w:rPr>
                <w:rFonts w:ascii="Arial" w:hAnsi="Arial" w:cs="Arial"/>
                <w:sz w:val="24"/>
                <w:szCs w:val="24"/>
              </w:rPr>
            </w:pPr>
            <w:r>
              <w:rPr>
                <w:rFonts w:ascii="Arial" w:hAnsi="Arial" w:cs="Arial"/>
                <w:sz w:val="24"/>
                <w:szCs w:val="24"/>
              </w:rPr>
              <w:t>N/A</w:t>
            </w:r>
          </w:p>
        </w:tc>
        <w:tc>
          <w:tcPr>
            <w:tcW w:w="2115" w:type="dxa"/>
            <w:vAlign w:val="center"/>
          </w:tcPr>
          <w:p w:rsidR="000E08C4" w:rsidRPr="00312BCB" w:rsidRDefault="000E08C4" w:rsidP="000E08C4">
            <w:pPr>
              <w:jc w:val="center"/>
              <w:rPr>
                <w:rFonts w:ascii="Arial" w:hAnsi="Arial" w:cs="Arial"/>
                <w:sz w:val="24"/>
                <w:szCs w:val="24"/>
              </w:rPr>
            </w:pPr>
            <w:r>
              <w:rPr>
                <w:rFonts w:ascii="Arial" w:hAnsi="Arial" w:cs="Arial"/>
                <w:sz w:val="24"/>
                <w:szCs w:val="24"/>
              </w:rPr>
              <w:t>Coord. CSC</w:t>
            </w:r>
          </w:p>
        </w:tc>
      </w:tr>
      <w:tr w:rsidR="000E08C4" w:rsidRPr="00312BCB" w:rsidTr="00BF6691">
        <w:tc>
          <w:tcPr>
            <w:tcW w:w="4025" w:type="dxa"/>
          </w:tcPr>
          <w:p w:rsidR="000E08C4" w:rsidRPr="00312BCB" w:rsidRDefault="000E08C4" w:rsidP="000E08C4">
            <w:pPr>
              <w:jc w:val="both"/>
              <w:rPr>
                <w:rFonts w:ascii="Arial" w:hAnsi="Arial" w:cs="Arial"/>
                <w:sz w:val="24"/>
                <w:szCs w:val="24"/>
              </w:rPr>
            </w:pPr>
            <w:r>
              <w:rPr>
                <w:rFonts w:ascii="Arial" w:hAnsi="Arial" w:cs="Arial"/>
                <w:sz w:val="24"/>
                <w:szCs w:val="24"/>
              </w:rPr>
              <w:t>Realizar la facturación correspondiente</w:t>
            </w:r>
          </w:p>
        </w:tc>
        <w:tc>
          <w:tcPr>
            <w:tcW w:w="1497" w:type="dxa"/>
            <w:vAlign w:val="center"/>
          </w:tcPr>
          <w:p w:rsidR="000E08C4" w:rsidRPr="00312BCB" w:rsidRDefault="000E08C4" w:rsidP="000E08C4">
            <w:pPr>
              <w:jc w:val="center"/>
              <w:rPr>
                <w:rFonts w:ascii="Arial" w:hAnsi="Arial" w:cs="Arial"/>
                <w:sz w:val="24"/>
                <w:szCs w:val="24"/>
              </w:rPr>
            </w:pPr>
            <w:r>
              <w:rPr>
                <w:rFonts w:ascii="Arial" w:hAnsi="Arial" w:cs="Arial"/>
                <w:sz w:val="24"/>
                <w:szCs w:val="24"/>
              </w:rPr>
              <w:t>permanente</w:t>
            </w:r>
          </w:p>
        </w:tc>
        <w:tc>
          <w:tcPr>
            <w:tcW w:w="1577" w:type="dxa"/>
            <w:vAlign w:val="center"/>
          </w:tcPr>
          <w:p w:rsidR="000E08C4" w:rsidRPr="00312BCB" w:rsidRDefault="000E08C4" w:rsidP="000E08C4">
            <w:pPr>
              <w:jc w:val="center"/>
              <w:rPr>
                <w:rFonts w:ascii="Arial" w:hAnsi="Arial" w:cs="Arial"/>
                <w:sz w:val="24"/>
                <w:szCs w:val="24"/>
              </w:rPr>
            </w:pPr>
            <w:r>
              <w:rPr>
                <w:rFonts w:ascii="Arial" w:hAnsi="Arial" w:cs="Arial"/>
                <w:sz w:val="24"/>
                <w:szCs w:val="24"/>
              </w:rPr>
              <w:t>N/A</w:t>
            </w:r>
          </w:p>
        </w:tc>
        <w:tc>
          <w:tcPr>
            <w:tcW w:w="2115" w:type="dxa"/>
            <w:vAlign w:val="center"/>
          </w:tcPr>
          <w:p w:rsidR="000E08C4" w:rsidRPr="00312BCB" w:rsidRDefault="000E08C4" w:rsidP="000E08C4">
            <w:pPr>
              <w:jc w:val="center"/>
              <w:rPr>
                <w:rFonts w:ascii="Arial" w:hAnsi="Arial" w:cs="Arial"/>
                <w:sz w:val="24"/>
                <w:szCs w:val="24"/>
              </w:rPr>
            </w:pPr>
            <w:r>
              <w:rPr>
                <w:rFonts w:ascii="Arial" w:hAnsi="Arial" w:cs="Arial"/>
                <w:sz w:val="24"/>
                <w:szCs w:val="24"/>
              </w:rPr>
              <w:t xml:space="preserve">Dir. Contable y </w:t>
            </w:r>
            <w:r w:rsidR="00900684">
              <w:rPr>
                <w:rFonts w:ascii="Arial" w:hAnsi="Arial" w:cs="Arial"/>
                <w:sz w:val="24"/>
                <w:szCs w:val="24"/>
              </w:rPr>
              <w:t>Financiero</w:t>
            </w:r>
            <w:r>
              <w:rPr>
                <w:rFonts w:ascii="Arial" w:hAnsi="Arial" w:cs="Arial"/>
                <w:sz w:val="24"/>
                <w:szCs w:val="24"/>
              </w:rPr>
              <w:t>.</w:t>
            </w:r>
          </w:p>
        </w:tc>
      </w:tr>
      <w:tr w:rsidR="00900684" w:rsidRPr="00312BCB" w:rsidTr="00BF6691">
        <w:tc>
          <w:tcPr>
            <w:tcW w:w="4025" w:type="dxa"/>
          </w:tcPr>
          <w:p w:rsidR="00900684" w:rsidRDefault="00900684" w:rsidP="00900684">
            <w:pPr>
              <w:jc w:val="both"/>
              <w:rPr>
                <w:rFonts w:ascii="Arial" w:hAnsi="Arial" w:cs="Arial"/>
                <w:sz w:val="24"/>
                <w:szCs w:val="24"/>
              </w:rPr>
            </w:pPr>
            <w:r>
              <w:rPr>
                <w:rFonts w:ascii="Arial" w:hAnsi="Arial" w:cs="Arial"/>
                <w:sz w:val="24"/>
                <w:szCs w:val="24"/>
              </w:rPr>
              <w:t>Realizar seguimiento a la renovación de contratos con el fin de que los “Otros sí”, sean enviados de manera oportuna para sus respectivas firmas, y hacer seguimiento a la devolución de estos, para garantizar su archivo oportuno.</w:t>
            </w:r>
          </w:p>
        </w:tc>
        <w:tc>
          <w:tcPr>
            <w:tcW w:w="1497" w:type="dxa"/>
            <w:vAlign w:val="center"/>
          </w:tcPr>
          <w:p w:rsidR="00900684" w:rsidRDefault="00900684" w:rsidP="00900684">
            <w:pPr>
              <w:jc w:val="center"/>
              <w:rPr>
                <w:rFonts w:ascii="Arial" w:hAnsi="Arial" w:cs="Arial"/>
                <w:sz w:val="24"/>
                <w:szCs w:val="24"/>
              </w:rPr>
            </w:pPr>
            <w:r>
              <w:rPr>
                <w:rFonts w:ascii="Arial" w:hAnsi="Arial" w:cs="Arial"/>
                <w:sz w:val="24"/>
                <w:szCs w:val="24"/>
              </w:rPr>
              <w:t>permanente</w:t>
            </w:r>
          </w:p>
        </w:tc>
        <w:tc>
          <w:tcPr>
            <w:tcW w:w="1577" w:type="dxa"/>
            <w:vAlign w:val="center"/>
          </w:tcPr>
          <w:p w:rsidR="00900684" w:rsidRPr="00312BCB" w:rsidRDefault="00900684" w:rsidP="00900684">
            <w:pPr>
              <w:jc w:val="center"/>
              <w:rPr>
                <w:rFonts w:ascii="Arial" w:hAnsi="Arial" w:cs="Arial"/>
                <w:sz w:val="24"/>
                <w:szCs w:val="24"/>
              </w:rPr>
            </w:pPr>
            <w:r>
              <w:rPr>
                <w:rFonts w:ascii="Arial" w:hAnsi="Arial" w:cs="Arial"/>
                <w:sz w:val="24"/>
                <w:szCs w:val="24"/>
              </w:rPr>
              <w:t>N/A</w:t>
            </w:r>
          </w:p>
        </w:tc>
        <w:tc>
          <w:tcPr>
            <w:tcW w:w="2115" w:type="dxa"/>
            <w:vAlign w:val="center"/>
          </w:tcPr>
          <w:p w:rsidR="00900684" w:rsidRPr="00312BCB" w:rsidRDefault="00900684" w:rsidP="00900684">
            <w:pPr>
              <w:jc w:val="center"/>
              <w:rPr>
                <w:rFonts w:ascii="Arial" w:hAnsi="Arial" w:cs="Arial"/>
                <w:sz w:val="24"/>
                <w:szCs w:val="24"/>
              </w:rPr>
            </w:pPr>
            <w:r>
              <w:rPr>
                <w:rFonts w:ascii="Arial" w:hAnsi="Arial" w:cs="Arial"/>
                <w:sz w:val="24"/>
                <w:szCs w:val="24"/>
              </w:rPr>
              <w:t>Dir. Jurídica</w:t>
            </w:r>
          </w:p>
        </w:tc>
      </w:tr>
    </w:tbl>
    <w:p w:rsidR="00CA6CBA" w:rsidRDefault="00334398"/>
    <w:tbl>
      <w:tblPr>
        <w:tblpPr w:leftFromText="141" w:rightFromText="141" w:vertAnchor="text" w:horzAnchor="page" w:tblpX="1549" w:tblpY="-42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1B0E35">
        <w:trPr>
          <w:trHeight w:val="246"/>
        </w:trPr>
        <w:tc>
          <w:tcPr>
            <w:tcW w:w="9209" w:type="dxa"/>
            <w:gridSpan w:val="6"/>
            <w:shd w:val="clear" w:color="auto" w:fill="auto"/>
          </w:tcPr>
          <w:p w:rsidR="008851EB" w:rsidRPr="00EC4207" w:rsidRDefault="008851EB" w:rsidP="008851EB">
            <w:pPr>
              <w:jc w:val="center"/>
              <w:rPr>
                <w:rFonts w:ascii="Arial" w:hAnsi="Arial" w:cs="Arial"/>
                <w:sz w:val="18"/>
              </w:rPr>
            </w:pPr>
            <w:r w:rsidRPr="00EC4207">
              <w:rPr>
                <w:rFonts w:ascii="Arial" w:hAnsi="Arial" w:cs="Arial"/>
                <w:b/>
                <w:sz w:val="18"/>
                <w:szCs w:val="18"/>
              </w:rPr>
              <w:t>EVALUACION DE LA REUNION</w:t>
            </w:r>
          </w:p>
        </w:tc>
      </w:tr>
      <w:tr w:rsidR="008851EB" w:rsidRPr="00EC4207" w:rsidTr="00832382">
        <w:trPr>
          <w:trHeight w:val="174"/>
        </w:trPr>
        <w:tc>
          <w:tcPr>
            <w:tcW w:w="3681" w:type="dxa"/>
            <w:gridSpan w:val="2"/>
            <w:shd w:val="clear" w:color="auto" w:fill="auto"/>
            <w:vAlign w:val="center"/>
          </w:tcPr>
          <w:p w:rsidR="008851EB" w:rsidRPr="00EC4207" w:rsidRDefault="008851EB" w:rsidP="00832382">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900684" w:rsidP="00832382">
            <w:pPr>
              <w:jc w:val="center"/>
              <w:rPr>
                <w:rFonts w:ascii="Arial" w:hAnsi="Arial" w:cs="Arial"/>
                <w:b/>
                <w:sz w:val="18"/>
                <w:szCs w:val="18"/>
              </w:rPr>
            </w:pPr>
            <w:r>
              <w:rPr>
                <w:rFonts w:ascii="Arial" w:hAnsi="Arial" w:cs="Arial"/>
                <w:b/>
                <w:sz w:val="18"/>
                <w:szCs w:val="18"/>
              </w:rPr>
              <w:t>N/A</w:t>
            </w:r>
            <w:r w:rsidR="008851EB" w:rsidRPr="00EC4207">
              <w:rPr>
                <w:rFonts w:ascii="Arial" w:hAnsi="Arial" w:cs="Arial"/>
                <w:b/>
                <w:sz w:val="18"/>
                <w:szCs w:val="18"/>
              </w:rPr>
              <w:t>%</w:t>
            </w:r>
          </w:p>
        </w:tc>
        <w:tc>
          <w:tcPr>
            <w:tcW w:w="2977" w:type="dxa"/>
            <w:gridSpan w:val="2"/>
            <w:shd w:val="clear" w:color="auto" w:fill="auto"/>
            <w:vAlign w:val="center"/>
          </w:tcPr>
          <w:p w:rsidR="008851EB" w:rsidRPr="00EC4207" w:rsidRDefault="00832382" w:rsidP="00832382">
            <w:pPr>
              <w:rPr>
                <w:rFonts w:ascii="Arial" w:hAnsi="Arial" w:cs="Arial"/>
                <w:b/>
                <w:sz w:val="18"/>
                <w:szCs w:val="18"/>
              </w:rPr>
            </w:pPr>
            <w:r>
              <w:rPr>
                <w:rFonts w:ascii="Arial" w:hAnsi="Arial" w:cs="Arial"/>
                <w:b/>
                <w:sz w:val="18"/>
                <w:szCs w:val="18"/>
              </w:rPr>
              <w:t>ACEPTACIÓN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900684" w:rsidP="00832382">
            <w:pPr>
              <w:jc w:val="center"/>
              <w:rPr>
                <w:rFonts w:ascii="Arial" w:hAnsi="Arial" w:cs="Arial"/>
                <w:b/>
                <w:sz w:val="18"/>
                <w:szCs w:val="18"/>
              </w:rPr>
            </w:pPr>
            <w:r>
              <w:rPr>
                <w:rFonts w:ascii="Arial" w:hAnsi="Arial" w:cs="Arial"/>
                <w:b/>
                <w:sz w:val="18"/>
                <w:szCs w:val="18"/>
              </w:rPr>
              <w:t>N/A</w:t>
            </w:r>
          </w:p>
        </w:tc>
      </w:tr>
      <w:tr w:rsidR="00C723CC" w:rsidRPr="00EC4207" w:rsidTr="00832382">
        <w:trPr>
          <w:trHeight w:val="174"/>
        </w:trPr>
        <w:tc>
          <w:tcPr>
            <w:tcW w:w="1980"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900684" w:rsidP="00832382">
            <w:pPr>
              <w:rPr>
                <w:rFonts w:ascii="Arial" w:hAnsi="Arial" w:cs="Arial"/>
                <w:b/>
                <w:sz w:val="18"/>
                <w:szCs w:val="18"/>
              </w:rPr>
            </w:pPr>
            <w:r>
              <w:rPr>
                <w:rFonts w:ascii="Arial" w:hAnsi="Arial" w:cs="Arial"/>
                <w:b/>
                <w:sz w:val="18"/>
                <w:szCs w:val="18"/>
              </w:rPr>
              <w:t xml:space="preserve">Yuly Ríos </w:t>
            </w:r>
          </w:p>
        </w:tc>
        <w:tc>
          <w:tcPr>
            <w:tcW w:w="1134"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900684" w:rsidP="00832382">
            <w:pPr>
              <w:rPr>
                <w:rFonts w:ascii="Arial" w:hAnsi="Arial" w:cs="Arial"/>
                <w:b/>
                <w:sz w:val="18"/>
                <w:szCs w:val="18"/>
              </w:rPr>
            </w:pPr>
            <w:r>
              <w:rPr>
                <w:rFonts w:ascii="Arial" w:hAnsi="Arial" w:cs="Arial"/>
                <w:b/>
                <w:sz w:val="18"/>
                <w:szCs w:val="18"/>
              </w:rPr>
              <w:t>Coordinador SIG.</w:t>
            </w:r>
          </w:p>
        </w:tc>
      </w:tr>
    </w:tbl>
    <w:p w:rsidR="008851EB" w:rsidRDefault="008851EB"/>
    <w:sectPr w:rsidR="008851E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398" w:rsidRDefault="00334398" w:rsidP="00DC7D25">
      <w:pPr>
        <w:spacing w:after="0" w:line="240" w:lineRule="auto"/>
      </w:pPr>
      <w:r>
        <w:separator/>
      </w:r>
    </w:p>
  </w:endnote>
  <w:endnote w:type="continuationSeparator" w:id="0">
    <w:p w:rsidR="00334398" w:rsidRDefault="00334398"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398" w:rsidRDefault="00334398" w:rsidP="00DC7D25">
      <w:pPr>
        <w:spacing w:after="0" w:line="240" w:lineRule="auto"/>
      </w:pPr>
      <w:r>
        <w:separator/>
      </w:r>
    </w:p>
  </w:footnote>
  <w:footnote w:type="continuationSeparator" w:id="0">
    <w:p w:rsidR="00334398" w:rsidRDefault="00334398"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DC7D25" w:rsidRPr="00023527" w:rsidTr="001F7F6E">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DC7D25" w:rsidRDefault="00DC7D25"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7D25" w:rsidRPr="00F446A0" w:rsidRDefault="00DC7D25" w:rsidP="00DC7D25">
          <w:pPr>
            <w:rPr>
              <w:rFonts w:ascii="Arial" w:hAnsi="Arial"/>
              <w:b/>
              <w:bCs/>
              <w:color w:val="000000"/>
            </w:rPr>
          </w:pPr>
          <w:r>
            <w:rPr>
              <w:rFonts w:ascii="Arial" w:hAnsi="Arial"/>
              <w:b/>
              <w:bCs/>
              <w:color w:val="000000"/>
            </w:rPr>
            <w:t xml:space="preserve">                 </w:t>
          </w:r>
          <w:r w:rsidR="00633C9D">
            <w:rPr>
              <w:rFonts w:ascii="Arial" w:hAnsi="Arial"/>
              <w:b/>
              <w:bCs/>
              <w:color w:val="000000"/>
            </w:rPr>
            <w:t xml:space="preserve">               REGISTRO DE ACTA</w:t>
          </w:r>
        </w:p>
      </w:tc>
    </w:tr>
    <w:tr w:rsidR="00DC7D25" w:rsidRPr="00023527" w:rsidTr="001F7F6E">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DC7D25" w:rsidRPr="00A1218E" w:rsidRDefault="00DC7D25" w:rsidP="00DC7D25">
          <w:pPr>
            <w:jc w:val="center"/>
            <w:rPr>
              <w:rFonts w:ascii="Arial" w:hAnsi="Arial"/>
              <w:b/>
              <w:bCs/>
              <w:color w:val="000000"/>
            </w:rPr>
          </w:pPr>
          <w:r w:rsidRPr="00A1218E">
            <w:rPr>
              <w:rFonts w:ascii="Arial" w:hAnsi="Arial"/>
              <w:b/>
              <w:bCs/>
              <w:color w:val="000000"/>
            </w:rPr>
            <w:t>PÁGINA</w:t>
          </w:r>
        </w:p>
      </w:tc>
    </w:tr>
    <w:tr w:rsidR="00DC7D25" w:rsidRPr="00023527" w:rsidTr="001F7F6E">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DC7D25" w:rsidRPr="00A1218E" w:rsidRDefault="00DC7D25"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DC7D25" w:rsidRPr="00A1218E" w:rsidRDefault="00DC7D25"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DC7D25" w:rsidRPr="00A1218E" w:rsidRDefault="00090714"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DC7D25" w:rsidRPr="00A1218E" w:rsidRDefault="00090714"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DC7D25" w:rsidRPr="00A1218E" w:rsidRDefault="00DC7D25" w:rsidP="00DC7D25">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2D2942" w:rsidRPr="002D2942">
            <w:rPr>
              <w:rFonts w:ascii="Arial" w:hAnsi="Arial" w:cs="Arial"/>
              <w:noProof/>
              <w:color w:val="000000"/>
              <w:lang w:val="es-ES"/>
            </w:rPr>
            <w:t>3</w:t>
          </w:r>
          <w:r w:rsidRPr="00A1218E">
            <w:rPr>
              <w:rFonts w:ascii="Arial" w:hAnsi="Arial" w:cs="Arial"/>
              <w:color w:val="000000"/>
            </w:rPr>
            <w:fldChar w:fldCharType="end"/>
          </w:r>
          <w:r w:rsidRPr="00A1218E">
            <w:rPr>
              <w:rFonts w:ascii="Arial" w:hAnsi="Arial" w:cs="Arial"/>
              <w:color w:val="000000"/>
            </w:rPr>
            <w:t xml:space="preserve"> de </w:t>
          </w:r>
          <w:r w:rsidR="00E1247E">
            <w:rPr>
              <w:rFonts w:ascii="Arial" w:hAnsi="Arial" w:cs="Arial"/>
              <w:color w:val="000000"/>
            </w:rPr>
            <w:t>3</w:t>
          </w:r>
        </w:p>
      </w:tc>
    </w:tr>
  </w:tbl>
  <w:p w:rsidR="00DC7D25" w:rsidRDefault="00DC7D2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36D9A"/>
    <w:multiLevelType w:val="hybridMultilevel"/>
    <w:tmpl w:val="44500186"/>
    <w:lvl w:ilvl="0" w:tplc="11BEF4B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720B6"/>
    <w:rsid w:val="00090714"/>
    <w:rsid w:val="000D4E4B"/>
    <w:rsid w:val="000E08C4"/>
    <w:rsid w:val="000F1336"/>
    <w:rsid w:val="00130B24"/>
    <w:rsid w:val="001D7B4D"/>
    <w:rsid w:val="001F2CCA"/>
    <w:rsid w:val="001F629B"/>
    <w:rsid w:val="0022357E"/>
    <w:rsid w:val="002D2942"/>
    <w:rsid w:val="00312BCB"/>
    <w:rsid w:val="00334398"/>
    <w:rsid w:val="00387035"/>
    <w:rsid w:val="003B18DF"/>
    <w:rsid w:val="004726C3"/>
    <w:rsid w:val="005156B8"/>
    <w:rsid w:val="00603622"/>
    <w:rsid w:val="00604797"/>
    <w:rsid w:val="00633C9D"/>
    <w:rsid w:val="00640EFB"/>
    <w:rsid w:val="00683438"/>
    <w:rsid w:val="006F2D89"/>
    <w:rsid w:val="00706C71"/>
    <w:rsid w:val="00832382"/>
    <w:rsid w:val="008851EB"/>
    <w:rsid w:val="00900684"/>
    <w:rsid w:val="00BD5220"/>
    <w:rsid w:val="00BE26B6"/>
    <w:rsid w:val="00BF6691"/>
    <w:rsid w:val="00C01EE9"/>
    <w:rsid w:val="00C02935"/>
    <w:rsid w:val="00C31D3B"/>
    <w:rsid w:val="00C723CC"/>
    <w:rsid w:val="00CC5EA2"/>
    <w:rsid w:val="00D34AB7"/>
    <w:rsid w:val="00DC7D25"/>
    <w:rsid w:val="00E1247E"/>
    <w:rsid w:val="00E76E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6E119F-9F66-4BAF-BCEF-54676348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3</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ZFIP-SIG</cp:lastModifiedBy>
  <cp:revision>11</cp:revision>
  <dcterms:created xsi:type="dcterms:W3CDTF">2019-07-11T14:18:00Z</dcterms:created>
  <dcterms:modified xsi:type="dcterms:W3CDTF">2019-11-21T18:20:00Z</dcterms:modified>
</cp:coreProperties>
</file>