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项目 README</w:t>
      </w:r>
    </w:p>
    <w:p>
      <w:pPr>
        <w:pStyle w:val="Subtitle"/>
      </w:pPr>
      <w:r>
        <w:t xml:space="preserve">项目定位、两条产品线、环境与目录速查</w:t>
      </w:r>
    </w:p>
    <w:p>
      <w:pPr>
        <w:pStyle w:val="Date"/>
      </w:pPr>
      <w:r>
        <w:t xml:space="preserve">2026-10-23</w:t>
      </w:r>
    </w:p>
    <w:p>
      <w:pPr>
        <w:pStyle w:val="FirstParagraph"/>
      </w:pPr>
      <w:r>
        <w:t xml:space="preserve">InSAR 相干矩阵相关的复现与分割工作台。两条产品线共用同一套</w:t>
      </w:r>
      <w:r>
        <w:rPr>
          <w:b/>
          <w:bCs/>
        </w:rPr>
        <w:t xml:space="preserve">物理合成器</w:t>
      </w:r>
      <w:r>
        <w:t xml:space="preserve">（DANI-NET 信号模型），一条对齐论文做变化检测复现，一条做相干矩阵的对角块分割。</w:t>
      </w:r>
    </w:p>
    <w:p>
      <w:pPr>
        <w:pStyle w:val="SourceCode"/>
      </w:pPr>
      <w:r>
        <w:rPr>
          <w:rStyle w:val="VerbatimChar"/>
        </w:rPr>
        <w:t xml:space="preserve">物理合成器（Sec. II–III）</w:t>
      </w:r>
      <w:r>
        <w:br/>
      </w:r>
      <w:r>
        <w:rPr>
          <w:rStyle w:val="VerbatimChar"/>
        </w:rPr>
        <w:t xml:space="preserve">   ├── 产品线 A：DANI-NET 论文复现   → daninet/net/    → /visual/reproduction/</w:t>
      </w:r>
      <w:r>
        <w:br/>
      </w:r>
      <w:r>
        <w:rPr>
          <w:rStyle w:val="VerbatimChar"/>
        </w:rPr>
        <w:t xml:space="preserve">   └── 产品线 B：InSAR 块矩阵分割   → daninet/edge/   → /visual/segmentation/</w:t>
      </w:r>
    </w:p>
    <w:p>
      <w:pPr>
        <w:pStyle w:val="Compact"/>
        <w:numPr>
          <w:ilvl w:val="0"/>
          <w:numId w:val="1001"/>
        </w:numPr>
      </w:pPr>
      <w:r>
        <w:t xml:space="preserve">简介与进度总览：</w:t>
      </w:r>
      <w:hyperlink r:id="rId20">
        <w:r>
          <w:rPr>
            <w:rStyle w:val="Hyperlink"/>
          </w:rPr>
          <w:t xml:space="preserve">https://zoneip.github.io/insar-affair-site/</w:t>
        </w:r>
      </w:hyperlink>
    </w:p>
    <w:p>
      <w:pPr>
        <w:pStyle w:val="Compact"/>
        <w:numPr>
          <w:ilvl w:val="0"/>
          <w:numId w:val="1001"/>
        </w:numPr>
      </w:pPr>
      <w:r>
        <w:t xml:space="preserve">完整说明与文档：</w:t>
      </w:r>
      <w:hyperlink r:id="rId21">
        <w:r>
          <w:rPr>
            <w:rStyle w:val="Hyperlink"/>
          </w:rPr>
          <w:t xml:space="preserve">https://zoneip.github.io/insar-affair-site/documents/</w:t>
        </w:r>
      </w:hyperlink>
    </w:p>
    <w:p>
      <w:pPr>
        <w:pStyle w:val="Compact"/>
        <w:numPr>
          <w:ilvl w:val="0"/>
          <w:numId w:val="1001"/>
        </w:numPr>
      </w:pPr>
      <w:r>
        <w:t xml:space="preserve">当前在干什么（跨 agent 看板）：</w:t>
      </w:r>
      <w:r>
        <w:rPr>
          <w:rStyle w:val="VerbatimChar"/>
        </w:rPr>
        <w:t xml:space="preserve">handoff.md</w:t>
      </w:r>
    </w:p>
    <w:p>
      <w:pPr>
        <w:pStyle w:val="Compact"/>
        <w:numPr>
          <w:ilvl w:val="0"/>
          <w:numId w:val="1001"/>
        </w:numPr>
      </w:pPr>
      <w:r>
        <w:t xml:space="preserve">长期事实与协作约定：</w:t>
      </w:r>
      <w:r>
        <w:rPr>
          <w:rStyle w:val="VerbatimChar"/>
        </w:rPr>
        <w:t xml:space="preserve">AGENTS.md</w:t>
      </w:r>
    </w:p>
    <w:p>
      <w:r>
        <w:pict>
          <v:rect style="width:0;height:1.5pt" o:hralign="center" o:hrstd="t" o:hr="t"/>
        </w:pict>
      </w:r>
    </w:p>
    <w:bookmarkStart w:id="22" w:name="Xc9e7e446313b5b30845824828226b0602ffe633"/>
    <w:p>
      <w:pPr>
        <w:pStyle w:val="Heading2"/>
      </w:pPr>
      <w:r>
        <w:t xml:space="preserve">1. 产品线 A：DANI-NET 论文复现</w:t>
      </w:r>
    </w:p>
    <w:p>
      <w:pPr>
        <w:pStyle w:val="FirstParagraph"/>
      </w:pPr>
      <w:r>
        <w:rPr>
          <w:b/>
          <w:bCs/>
        </w:rPr>
        <w:t xml:space="preserve">任务</w:t>
      </w:r>
      <w:r>
        <w:t xml:space="preserve">：重复轨道 InSAR 变化检测。输入合成孔径雷达信号块，输出逐像素的四类判别（稳定 / 突变 / 线性 / 周期），对应论文 Sec. II–III 的物理模型、Sec. IV 的在线数据生成、Sec. V 的全卷积网络。</w:t>
      </w:r>
    </w:p>
    <w:p>
      <w:pPr>
        <w:pStyle w:val="BodyText"/>
      </w:pPr>
      <w:r>
        <w:rPr>
          <w:b/>
          <w:bCs/>
        </w:rPr>
        <w:t xml:space="preserve">口径</w:t>
      </w:r>
      <w:r>
        <w:t xml:space="preserve">：代码与文档引用论文时保留</w:t>
      </w:r>
      <w:r>
        <w:t xml:space="preserve"> </w:t>
      </w:r>
      <w:r>
        <w:rPr>
          <w:rStyle w:val="VerbatimChar"/>
        </w:rPr>
        <w:t xml:space="preserve">Sec. / Eq. / Fig. / Table</w:t>
      </w:r>
      <w:r>
        <w:t xml:space="preserve"> </w:t>
      </w:r>
      <w:r>
        <w:t xml:space="preserve">编号，不自行改号。已核实的复现发现（Eq. 6 方向、Table IV 不自洽等）见</w:t>
      </w:r>
      <w:r>
        <w:t xml:space="preserve"> </w:t>
      </w:r>
      <w:r>
        <w:rPr>
          <w:rStyle w:val="VerbatimChar"/>
        </w:rPr>
        <w:t xml:space="preserve">daninet/README.md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当前规模</w:t>
      </w:r>
      <w:r>
        <w:t xml:space="preserve">（与论文差距）：</w:t>
      </w:r>
    </w:p>
    <w:tbl>
      <w:tblPr>
        <w:tblStyle w:val="Table"/>
        <w:tblW w:type="dxa" w:w="9638"/>
        <w:jc w:val="left"/>
        <w:tblLook w:firstRow="1" w:lastRow="0" w:firstColumn="0" w:lastColumn="0" w:noHBand="0" w:noVBand="0" w:val="0020"/>
      </w:tblPr>
      <w:tblGrid>
        <w:gridCol w:w="1308"/>
        <w:gridCol w:w="3543"/>
        <w:gridCol w:w="4787"/>
      </w:tblGrid>
      <w:tr>
        <w:trPr>
          <w:tblHeader w:val="on"/>
        </w:trPr>
        <w:tc>
          <w:tcPr>
            <w:tcW w:w="1308" w:type="dxa"/>
          </w:tcPr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>
            <w:tcW w:w="3543" w:type="dxa"/>
          </w:tcPr>
          <w:p>
            <w:pPr>
              <w:pStyle w:val="Compact"/>
              <w:jc w:val="left"/>
            </w:pPr>
            <w:r>
              <w:t xml:space="preserve">论文</w:t>
            </w:r>
          </w:p>
        </w:tc>
        <w:tc>
          <w:tcPr>
            <w:tcW w:w="4787" w:type="dxa"/>
          </w:tcPr>
          <w:p>
            <w:pPr>
              <w:pStyle w:val="Compact"/>
              <w:jc w:val="left"/>
            </w:pPr>
            <w:r>
              <w:t xml:space="preserve">本项目（P2 深跑）</w:t>
            </w:r>
          </w:p>
        </w:tc>
      </w:tr>
      <w:tr>
        <w:tc>
          <w:tcPr>
            <w:tcW w:w="1308" w:type="dxa"/>
          </w:tcPr>
          <w:p>
            <w:pPr>
              <w:pStyle w:val="Compact"/>
              <w:jc w:val="left"/>
            </w:pPr>
            <w:r>
              <w:t xml:space="preserve">训练数据</w:t>
            </w:r>
          </w:p>
        </w:tc>
        <w:tc>
          <w:tcPr>
            <w:tcW w:w="3543" w:type="dxa"/>
          </w:tcPr>
          <w:p>
            <w:pPr>
              <w:pStyle w:val="Compact"/>
              <w:jc w:val="left"/>
            </w:pPr>
            <w:r>
              <w:t xml:space="preserve">全因子枚举，每 L 1,855,740 片</w:t>
            </w:r>
          </w:p>
        </w:tc>
        <w:tc>
          <w:tcPr>
            <w:tcW w:w="4787" w:type="dxa"/>
          </w:tcPr>
          <w:p>
            <w:pPr>
              <w:pStyle w:val="Compact"/>
              <w:jc w:val="left"/>
            </w:pPr>
            <w:r>
              <w:t xml:space="preserve">在线随机抽样（分布等价、可无限生成）</w:t>
            </w:r>
          </w:p>
        </w:tc>
      </w:tr>
      <w:tr>
        <w:tc>
          <w:tcPr>
            <w:tcW w:w="1308" w:type="dxa"/>
          </w:tcPr>
          <w:p>
            <w:pPr>
              <w:pStyle w:val="Compact"/>
              <w:jc w:val="left"/>
            </w:pPr>
            <w:r>
              <w:t xml:space="preserve">呈现次数</w:t>
            </w:r>
          </w:p>
        </w:tc>
        <w:tc>
          <w:tcPr>
            <w:tcW w:w="3543" w:type="dxa"/>
          </w:tcPr>
          <w:p>
            <w:pPr>
              <w:pStyle w:val="Compact"/>
              <w:jc w:val="left"/>
            </w:pPr>
            <w:r>
              <w:t xml:space="preserve">250 ep × 1.48 M ≈ 3.71 亿</w:t>
            </w:r>
          </w:p>
        </w:tc>
        <w:tc>
          <w:tcPr>
            <w:tcW w:w="4787" w:type="dxa"/>
          </w:tcPr>
          <w:p>
            <w:pPr>
              <w:pStyle w:val="Compact"/>
              <w:jc w:val="left"/>
            </w:pPr>
            <w:r>
              <w:t xml:space="preserve">60 ep × 200 k = 1,200 万（约</w:t>
            </w:r>
            <w:r>
              <w:t xml:space="preserve"> </w:t>
            </w:r>
            <w:r>
              <w:rPr>
                <w:b/>
                <w:bCs/>
              </w:rPr>
              <w:t xml:space="preserve">3.2%</w:t>
            </w:r>
            <w:r>
              <w:t xml:space="preserve">）</w:t>
            </w:r>
          </w:p>
        </w:tc>
      </w:tr>
      <w:tr>
        <w:tc>
          <w:tcPr>
            <w:tcW w:w="1308" w:type="dxa"/>
          </w:tcPr>
          <w:p>
            <w:pPr>
              <w:pStyle w:val="Compact"/>
              <w:jc w:val="left"/>
            </w:pPr>
            <w:r>
              <w:t xml:space="preserve">硬件</w:t>
            </w:r>
          </w:p>
        </w:tc>
        <w:tc>
          <w:tcPr>
            <w:tcW w:w="3543" w:type="dxa"/>
          </w:tcPr>
          <w:p>
            <w:pPr>
              <w:pStyle w:val="Compact"/>
              <w:jc w:val="left"/>
            </w:pPr>
            <w:r>
              <w:t xml:space="preserve">V100</w:t>
            </w:r>
          </w:p>
        </w:tc>
        <w:tc>
          <w:tcPr>
            <w:tcW w:w="4787" w:type="dxa"/>
          </w:tcPr>
          <w:p>
            <w:pPr>
              <w:pStyle w:val="Compact"/>
              <w:jc w:val="left"/>
            </w:pPr>
            <w:r>
              <w:t xml:space="preserve">Ascend 910（单卡 chip 0）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缩放结论</w:t>
      </w:r>
      <w:r>
        <w:t xml:space="preserve">（weighted F1，AMP fp16，batch 16）：</w:t>
      </w:r>
    </w:p>
    <w:tbl>
      <w:tblPr>
        <w:tblStyle w:val="Table"/>
        <w:tblW w:type="dxa" w:w="9638"/>
        <w:jc w:val="left"/>
        <w:tblLook w:firstRow="1" w:lastRow="0" w:firstColumn="0" w:lastColumn="0" w:noHBand="0" w:noVBand="0" w:val="0020"/>
      </w:tblPr>
      <w:tblGrid>
        <w:gridCol w:w="2254"/>
        <w:gridCol w:w="2988"/>
        <w:gridCol w:w="1038"/>
        <w:gridCol w:w="1038"/>
        <w:gridCol w:w="1038"/>
        <w:gridCol w:w="1282"/>
      </w:tblGrid>
      <w:tr>
        <w:trPr>
          <w:tblHeader w:val="on"/>
        </w:trPr>
        <w:tc>
          <w:tcPr>
            <w:tcW w:w="2254" w:type="dxa"/>
          </w:tcPr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>
            <w:tcW w:w="2988" w:type="dxa"/>
          </w:tcPr>
          <w:p>
            <w:pPr>
              <w:pStyle w:val="Compact"/>
              <w:jc w:val="left"/>
            </w:pPr>
            <w:r>
              <w:t xml:space="preserve">配置</w:t>
            </w:r>
          </w:p>
        </w:tc>
        <w:tc>
          <w:tcPr>
            <w:tcW w:w="1038" w:type="dxa"/>
          </w:tcPr>
          <w:p>
            <w:pPr>
              <w:pStyle w:val="Compact"/>
              <w:jc w:val="left"/>
            </w:pPr>
            <w:r>
              <w:t xml:space="preserve">L=9</w:t>
            </w:r>
          </w:p>
        </w:tc>
        <w:tc>
          <w:tcPr>
            <w:tcW w:w="1038" w:type="dxa"/>
          </w:tcPr>
          <w:p>
            <w:pPr>
              <w:pStyle w:val="Compact"/>
              <w:jc w:val="left"/>
            </w:pPr>
            <w:r>
              <w:t xml:space="preserve">L=25</w:t>
            </w:r>
          </w:p>
        </w:tc>
        <w:tc>
          <w:tcPr>
            <w:tcW w:w="1038" w:type="dxa"/>
          </w:tcPr>
          <w:p>
            <w:pPr>
              <w:pStyle w:val="Compact"/>
              <w:jc w:val="left"/>
            </w:pPr>
            <w:r>
              <w:t xml:space="preserve">L=121</w:t>
            </w:r>
          </w:p>
        </w:tc>
        <w:tc>
          <w:tcPr>
            <w:tcW w:w="1282" w:type="dxa"/>
          </w:tcPr>
          <w:p>
            <w:pPr>
              <w:pStyle w:val="Compact"/>
              <w:jc w:val="left"/>
            </w:pPr>
            <w:r>
              <w:t xml:space="preserve">耗时</w:t>
            </w:r>
          </w:p>
        </w:tc>
      </w:tr>
      <w:tr>
        <w:tc>
          <w:tcPr>
            <w:tcW w:w="225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a3_amp_b16_e15</w:t>
            </w:r>
          </w:p>
        </w:tc>
        <w:tc>
          <w:tcPr>
            <w:tcW w:w="2988" w:type="dxa"/>
          </w:tcPr>
          <w:p>
            <w:pPr>
              <w:pStyle w:val="Compact"/>
              <w:jc w:val="left"/>
            </w:pPr>
            <w:r>
              <w:t xml:space="preserve">5 blk × 15ep × 10k</w:t>
            </w:r>
          </w:p>
        </w:tc>
        <w:tc>
          <w:tcPr>
            <w:tcW w:w="1038" w:type="dxa"/>
          </w:tcPr>
          <w:p>
            <w:pPr>
              <w:pStyle w:val="Compact"/>
              <w:jc w:val="left"/>
            </w:pPr>
            <w:r>
              <w:t xml:space="preserve">0.7021</w:t>
            </w:r>
          </w:p>
        </w:tc>
        <w:tc>
          <w:tcPr>
            <w:tcW w:w="1038" w:type="dxa"/>
          </w:tcPr>
          <w:p>
            <w:pPr>
              <w:pStyle w:val="Compact"/>
              <w:jc w:val="left"/>
            </w:pPr>
            <w:r>
              <w:t xml:space="preserve">0.7291</w:t>
            </w:r>
          </w:p>
        </w:tc>
        <w:tc>
          <w:tcPr>
            <w:tcW w:w="1038" w:type="dxa"/>
          </w:tcPr>
          <w:p>
            <w:pPr>
              <w:pStyle w:val="Compact"/>
              <w:jc w:val="left"/>
            </w:pPr>
            <w:r>
              <w:t xml:space="preserve">0.7689</w:t>
            </w:r>
          </w:p>
        </w:tc>
        <w:tc>
          <w:tcPr>
            <w:tcW w:w="1282" w:type="dxa"/>
          </w:tcPr>
          <w:p>
            <w:pPr>
              <w:pStyle w:val="Compact"/>
              <w:jc w:val="left"/>
            </w:pPr>
            <w:r>
              <w:t xml:space="preserve">5.8 min</w:t>
            </w:r>
          </w:p>
        </w:tc>
      </w:tr>
      <w:tr>
        <w:tc>
          <w:tcPr>
            <w:tcW w:w="225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a3_s5_p50k_e25</w:t>
            </w:r>
          </w:p>
        </w:tc>
        <w:tc>
          <w:tcPr>
            <w:tcW w:w="2988" w:type="dxa"/>
          </w:tcPr>
          <w:p>
            <w:pPr>
              <w:pStyle w:val="Compact"/>
              <w:jc w:val="left"/>
            </w:pPr>
            <w:r>
              <w:t xml:space="preserve">5 blk × 25ep × 50k</w:t>
            </w:r>
          </w:p>
        </w:tc>
        <w:tc>
          <w:tcPr>
            <w:tcW w:w="1038" w:type="dxa"/>
          </w:tcPr>
          <w:p>
            <w:pPr>
              <w:pStyle w:val="Compact"/>
              <w:jc w:val="left"/>
            </w:pPr>
            <w:r>
              <w:t xml:space="preserve">0.7289</w:t>
            </w:r>
          </w:p>
        </w:tc>
        <w:tc>
          <w:tcPr>
            <w:tcW w:w="1038" w:type="dxa"/>
          </w:tcPr>
          <w:p>
            <w:pPr>
              <w:pStyle w:val="Compact"/>
              <w:jc w:val="left"/>
            </w:pPr>
            <w:r>
              <w:t xml:space="preserve">0.7496</w:t>
            </w:r>
          </w:p>
        </w:tc>
        <w:tc>
          <w:tcPr>
            <w:tcW w:w="1038" w:type="dxa"/>
          </w:tcPr>
          <w:p>
            <w:pPr>
              <w:pStyle w:val="Compact"/>
              <w:jc w:val="left"/>
            </w:pPr>
            <w:r>
              <w:t xml:space="preserve">0.7887</w:t>
            </w:r>
          </w:p>
        </w:tc>
        <w:tc>
          <w:tcPr>
            <w:tcW w:w="1282" w:type="dxa"/>
          </w:tcPr>
          <w:p>
            <w:pPr>
              <w:pStyle w:val="Compact"/>
              <w:jc w:val="left"/>
            </w:pPr>
            <w:r>
              <w:t xml:space="preserve">48.2 min</w:t>
            </w:r>
          </w:p>
        </w:tc>
      </w:tr>
      <w:tr>
        <w:tc>
          <w:tcPr>
            <w:tcW w:w="225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a3_b10_e25</w:t>
            </w:r>
          </w:p>
        </w:tc>
        <w:tc>
          <w:tcPr>
            <w:tcW w:w="2988" w:type="dxa"/>
          </w:tcPr>
          <w:p>
            <w:pPr>
              <w:pStyle w:val="Compact"/>
              <w:jc w:val="left"/>
            </w:pPr>
            <w:r>
              <w:t xml:space="preserve">10 blk × 25ep × 10k</w:t>
            </w:r>
          </w:p>
        </w:tc>
        <w:tc>
          <w:tcPr>
            <w:tcW w:w="1038" w:type="dxa"/>
          </w:tcPr>
          <w:p>
            <w:pPr>
              <w:pStyle w:val="Compact"/>
              <w:jc w:val="left"/>
            </w:pPr>
            <w:r>
              <w:t xml:space="preserve">0.7459</w:t>
            </w:r>
          </w:p>
        </w:tc>
        <w:tc>
          <w:tcPr>
            <w:tcW w:w="1038" w:type="dxa"/>
          </w:tcPr>
          <w:p>
            <w:pPr>
              <w:pStyle w:val="Compact"/>
              <w:jc w:val="left"/>
            </w:pPr>
            <w:r>
              <w:t xml:space="preserve">0.7628</w:t>
            </w:r>
          </w:p>
        </w:tc>
        <w:tc>
          <w:tcPr>
            <w:tcW w:w="1038" w:type="dxa"/>
          </w:tcPr>
          <w:p>
            <w:pPr>
              <w:pStyle w:val="Compact"/>
              <w:jc w:val="left"/>
            </w:pPr>
            <w:r>
              <w:t xml:space="preserve">0.7942</w:t>
            </w:r>
          </w:p>
        </w:tc>
        <w:tc>
          <w:tcPr>
            <w:tcW w:w="1282" w:type="dxa"/>
          </w:tcPr>
          <w:p>
            <w:pPr>
              <w:pStyle w:val="Compact"/>
              <w:jc w:val="left"/>
            </w:pPr>
            <w:r>
              <w:t xml:space="preserve">14.6 min</w:t>
            </w:r>
          </w:p>
        </w:tc>
      </w:tr>
      <w:tr>
        <w:tc>
          <w:tcPr>
            <w:tcW w:w="2254" w:type="dxa"/>
          </w:tcPr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a3_b10_p200k_e60</w:t>
            </w:r>
          </w:p>
        </w:tc>
        <w:tc>
          <w:tcPr>
            <w:tcW w:w="2988" w:type="dxa"/>
          </w:tcPr>
          <w:p>
            <w:pPr>
              <w:pStyle w:val="Compact"/>
              <w:jc w:val="left"/>
            </w:pPr>
            <w:r>
              <w:t xml:space="preserve">10 blk × 60ep × 200k</w:t>
            </w:r>
          </w:p>
        </w:tc>
        <w:tc>
          <w:tcPr>
            <w:tcW w:w="1038" w:type="dxa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0.7815</w:t>
            </w:r>
          </w:p>
        </w:tc>
        <w:tc>
          <w:tcPr>
            <w:tcW w:w="1038" w:type="dxa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0.7931</w:t>
            </w:r>
          </w:p>
        </w:tc>
        <w:tc>
          <w:tcPr>
            <w:tcW w:w="1038" w:type="dxa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0.8241</w:t>
            </w:r>
          </w:p>
        </w:tc>
        <w:tc>
          <w:tcPr>
            <w:tcW w:w="1282" w:type="dxa"/>
          </w:tcPr>
          <w:p>
            <w:pPr>
              <w:pStyle w:val="Compact"/>
              <w:jc w:val="left"/>
            </w:pPr>
            <w:r>
              <w:t xml:space="preserve">425 min</w:t>
            </w:r>
          </w:p>
        </w:tc>
      </w:tr>
    </w:tbl>
    <w:p>
      <w:pPr>
        <w:pStyle w:val="BodyText"/>
      </w:pPr>
      <w:r>
        <w:t xml:space="preserve">同预算下</w:t>
      </w:r>
      <w:r>
        <w:rPr>
          <w:b/>
          <w:bCs/>
        </w:rPr>
        <w:t xml:space="preserve">加深度优于加数据</w:t>
      </w:r>
      <w:r>
        <w:t xml:space="preserve">（5→10 blk +0.041 @L=9，数据 ×5 仅 +0.021 @L=25）。P2 后已</w:t>
      </w:r>
      <w:r>
        <w:rPr>
          <w:b/>
          <w:bCs/>
        </w:rPr>
        <w:t xml:space="preserve">饱和</w:t>
      </w:r>
      <w:r>
        <w:t xml:space="preserve">：ep51 第二次降 LR 仅 +0.0002，ep55 达峰，继续加 epoch 无收益。</w:t>
      </w:r>
    </w:p>
    <w:p>
      <w:r>
        <w:pict>
          <v:rect style="width:0;height:1.5pt" o:hralign="center" o:hrstd="t" o:hr="t"/>
        </w:pict>
      </w:r>
    </w:p>
    <w:bookmarkEnd w:id="22"/>
    <w:bookmarkStart w:id="23" w:name="X4f0a9dcdb0c2310a2e826596c059096852cc1cf"/>
    <w:p>
      <w:pPr>
        <w:pStyle w:val="Heading2"/>
      </w:pPr>
      <w:r>
        <w:t xml:space="preserve">2. 产品线 B：InSAR 块矩阵分割</w:t>
      </w:r>
    </w:p>
    <w:p>
      <w:pPr>
        <w:pStyle w:val="FirstParagraph"/>
      </w:pPr>
      <w:r>
        <w:rPr>
          <w:b/>
          <w:bCs/>
        </w:rPr>
        <w:t xml:space="preserve">任务</w:t>
      </w:r>
      <w:r>
        <w:t xml:space="preserve">：从 N×N 非负相干矩阵</w:t>
      </w:r>
      <w:r>
        <w:t xml:space="preserve"> </w:t>
      </w:r>
      <w:r>
        <w:rPr>
          <w:rStyle w:val="VerbatimChar"/>
        </w:rPr>
        <w:t xml:space="preserve">|γ| ∈ [0,1]</w:t>
      </w:r>
      <w:r>
        <w:t xml:space="preserve"> </w:t>
      </w:r>
      <w:r>
        <w:t xml:space="preserve">预测</w:t>
      </w:r>
      <w:r>
        <w:t xml:space="preserve"> </w:t>
      </w:r>
      <w:r>
        <w:rPr>
          <w:b/>
          <w:bCs/>
        </w:rPr>
        <w:t xml:space="preserve">N−1</w:t>
      </w:r>
      <w:r>
        <w:t xml:space="preserve"> </w:t>
      </w:r>
      <w:r>
        <w:t xml:space="preserve">个连续对角块边界（二维块检测 → 一维多标签边界检测）。合成口径与真实 InSAR 相干矩阵一致。</w:t>
      </w:r>
    </w:p>
    <w:p>
      <w:pPr>
        <w:pStyle w:val="BodyText"/>
      </w:pPr>
      <w:r>
        <w:rPr>
          <w:b/>
          <w:bCs/>
        </w:rPr>
        <w:t xml:space="preserve">主模型</w:t>
      </w:r>
      <w:r>
        <w:t xml:space="preserve"> </w:t>
      </w:r>
      <w:r>
        <w:rPr>
          <w:rStyle w:val="VerbatimChar"/>
        </w:rPr>
        <w:t xml:space="preserve">daninet/runs/edge_final_single</w:t>
      </w:r>
      <w:r>
        <w:t xml:space="preserve">：DANI-NET 骨干 + 边界头，seed 20261019，60 epoch × 32768 合成矩阵，早停 epoch 24，11.3 min。</w:t>
      </w:r>
    </w:p>
    <w:tbl>
      <w:tblPr>
        <w:tblStyle w:val="Table"/>
        <w:tblW w:type="dxa" w:w="9638"/>
        <w:jc w:val="left"/>
        <w:tblLook w:firstRow="1" w:lastRow="0" w:firstColumn="0" w:lastColumn="0" w:noHBand="0" w:noVBand="0" w:val="0020"/>
      </w:tblPr>
      <w:tblGrid>
        <w:gridCol w:w="4356"/>
        <w:gridCol w:w="5282"/>
      </w:tblGrid>
      <w:tr>
        <w:trPr>
          <w:tblHeader w:val="on"/>
        </w:trPr>
        <w:tc>
          <w:tcPr>
            <w:tcW w:w="4356" w:type="dxa"/>
          </w:tcPr>
          <w:p>
            <w:pPr>
              <w:pStyle w:val="Compact"/>
              <w:jc w:val="left"/>
            </w:pPr>
            <w:r>
              <w:t xml:space="preserve">指标（n=3968）</w:t>
            </w:r>
          </w:p>
        </w:tc>
        <w:tc>
          <w:tcPr>
            <w:tcW w:w="5282" w:type="dxa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>
            <w:tcW w:w="4356" w:type="dxa"/>
          </w:tcPr>
          <w:p>
            <w:pPr>
              <w:pStyle w:val="Compact"/>
              <w:jc w:val="left"/>
            </w:pPr>
            <w:r>
              <w:t xml:space="preserve">Exact Accuracy</w:t>
            </w:r>
          </w:p>
        </w:tc>
        <w:tc>
          <w:tcPr>
            <w:tcW w:w="5282" w:type="dxa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0.6872</w:t>
            </w:r>
          </w:p>
        </w:tc>
      </w:tr>
      <w:tr>
        <w:tc>
          <w:tcPr>
            <w:tcW w:w="4356" w:type="dxa"/>
          </w:tcPr>
          <w:p>
            <w:pPr>
              <w:pStyle w:val="Compact"/>
              <w:jc w:val="left"/>
            </w:pPr>
            <w:r>
              <w:t xml:space="preserve">Boundary F1 / Rect F1</w:t>
            </w:r>
          </w:p>
        </w:tc>
        <w:tc>
          <w:tcPr>
            <w:tcW w:w="5282" w:type="dxa"/>
          </w:tcPr>
          <w:p>
            <w:pPr>
              <w:pStyle w:val="Compact"/>
              <w:jc w:val="left"/>
            </w:pPr>
            <w:r>
              <w:t xml:space="preserve">0.8391 / 0.8133</w:t>
            </w:r>
          </w:p>
        </w:tc>
      </w:tr>
      <w:tr>
        <w:tc>
          <w:tcPr>
            <w:tcW w:w="4356" w:type="dxa"/>
          </w:tcPr>
          <w:p>
            <w:pPr>
              <w:pStyle w:val="Compact"/>
              <w:jc w:val="left"/>
            </w:pPr>
            <w:r>
              <w:t xml:space="preserve">边界数 MAE</w:t>
            </w:r>
          </w:p>
        </w:tc>
        <w:tc>
          <w:tcPr>
            <w:tcW w:w="5282" w:type="dxa"/>
          </w:tcPr>
          <w:p>
            <w:pPr>
              <w:pStyle w:val="Compact"/>
              <w:jc w:val="left"/>
            </w:pPr>
            <w:r>
              <w:t xml:space="preserve">0.320（过分割 9.3% / 欠分割 15.9%）</w:t>
            </w:r>
          </w:p>
        </w:tc>
      </w:tr>
      <w:tr>
        <w:tc>
          <w:tcPr>
            <w:tcW w:w="4356" w:type="dxa"/>
          </w:tcPr>
          <w:p>
            <w:pPr>
              <w:pStyle w:val="Compact"/>
              <w:jc w:val="left"/>
            </w:pPr>
            <w:r>
              <w:t xml:space="preserve">逐 L Exact</w:t>
            </w:r>
          </w:p>
        </w:tc>
        <w:tc>
          <w:tcPr>
            <w:tcW w:w="5282" w:type="dxa"/>
          </w:tcPr>
          <w:p>
            <w:pPr>
              <w:pStyle w:val="Compact"/>
              <w:jc w:val="left"/>
            </w:pPr>
            <w:r>
              <w:t xml:space="preserve">0.312 → 0.548 → 0.665 → 0.775 → 0.860 →</w:t>
            </w:r>
            <w:r>
              <w:t xml:space="preserve"> </w:t>
            </w:r>
            <w:r>
              <w:rPr>
                <w:b/>
                <w:bCs/>
              </w:rPr>
              <w:t xml:space="preserve">0.977</w:t>
            </w:r>
            <w:r>
              <w:t xml:space="preserve">（L=9…121）</w:t>
            </w:r>
          </w:p>
        </w:tc>
      </w:tr>
      <w:tr>
        <w:tc>
          <w:tcPr>
            <w:tcW w:w="4356" w:type="dxa"/>
          </w:tcPr>
          <w:p>
            <w:pPr>
              <w:pStyle w:val="Compact"/>
              <w:jc w:val="left"/>
            </w:pPr>
            <w:r>
              <w:t xml:space="preserve">未见尺寸 25</w:t>
            </w:r>
          </w:p>
        </w:tc>
        <w:tc>
          <w:tcPr>
            <w:tcW w:w="5282" w:type="dxa"/>
          </w:tcPr>
          <w:p>
            <w:pPr>
              <w:pStyle w:val="Compact"/>
              <w:jc w:val="left"/>
            </w:pPr>
            <w:r>
              <w:t xml:space="preserve">0.592（过分割 35.4%，阈值需重校准）</w:t>
            </w:r>
          </w:p>
        </w:tc>
      </w:tr>
      <w:tr>
        <w:tc>
          <w:tcPr>
            <w:tcW w:w="4356" w:type="dxa"/>
          </w:tcPr>
          <w:p>
            <w:pPr>
              <w:pStyle w:val="Compact"/>
              <w:jc w:val="left"/>
            </w:pPr>
            <w:r>
              <w:t xml:space="preserve">推理（17×17）</w:t>
            </w:r>
          </w:p>
        </w:tc>
        <w:tc>
          <w:tcPr>
            <w:tcW w:w="5282" w:type="dxa"/>
          </w:tcPr>
          <w:p>
            <w:pPr>
              <w:pStyle w:val="Compact"/>
              <w:jc w:val="left"/>
            </w:pPr>
            <w:r>
              <w:t xml:space="preserve">单模型 0.12 ms</w:t>
            </w:r>
          </w:p>
        </w:tc>
      </w:tr>
    </w:tbl>
    <w:p>
      <w:pPr>
        <w:pStyle w:val="BodyText"/>
      </w:pPr>
      <w:r>
        <w:t xml:space="preserve">难点在</w:t>
      </w:r>
      <w:r>
        <w:rPr>
          <w:b/>
          <w:bCs/>
        </w:rPr>
        <w:t xml:space="preserve">窄块</w:t>
      </w:r>
      <w:r>
        <w:t xml:space="preserve">（块宽 2 → 0.646，块宽 8 → 0.805）与</w:t>
      </w:r>
      <w:r>
        <w:rPr>
          <w:b/>
          <w:bCs/>
        </w:rPr>
        <w:t xml:space="preserve">多边界</w:t>
      </w:r>
      <w:r>
        <w:t xml:space="preserve">（4 个边界 → 0.487）。完整画廊与分解见</w:t>
      </w:r>
      <w:r>
        <w:t xml:space="preserve"> </w:t>
      </w:r>
      <w:r>
        <w:rPr>
          <w:rStyle w:val="VerbatimChar"/>
        </w:rPr>
        <w:t xml:space="preserve">/visual/segmentation/</w:t>
      </w:r>
      <w:r>
        <w:t xml:space="preserve">，方法整理见文档区《InSAR 矩阵分割》。</w:t>
      </w:r>
    </w:p>
    <w:p>
      <w:pPr>
        <w:pStyle w:val="BodyText"/>
      </w:pPr>
      <w:r>
        <w:rPr>
          <w:b/>
          <w:bCs/>
        </w:rPr>
        <w:t xml:space="preserve">缺口</w:t>
      </w:r>
      <w:r>
        <w:t xml:space="preserve">：真实带标注的相干矩阵数据（</w:t>
      </w:r>
      <w:r>
        <w:rPr>
          <w:rStyle w:val="VerbatimChar"/>
        </w:rPr>
        <w:t xml:space="preserve">.mat</w:t>
      </w:r>
      <w:r>
        <w:t xml:space="preserve">）尚未入库，当前全部结论基于合成数据。真实数据到位后先过</w:t>
      </w:r>
      <w:r>
        <w:t xml:space="preserve"> </w:t>
      </w:r>
      <w:r>
        <w:rPr>
          <w:b/>
          <w:bCs/>
        </w:rPr>
        <w:t xml:space="preserve">数据门禁</w:t>
      </w:r>
      <w:r>
        <w:t xml:space="preserve">（</w:t>
      </w:r>
      <w:r>
        <w:rPr>
          <w:rStyle w:val="VerbatimChar"/>
        </w:rPr>
        <w:t xml:space="preserve">daninet/edge/audit.py</w:t>
      </w:r>
      <w:r>
        <w:t xml:space="preserve">，规范见</w:t>
      </w:r>
      <w:r>
        <w:t xml:space="preserve"> </w:t>
      </w:r>
      <w:r>
        <w:rPr>
          <w:rStyle w:val="VerbatimChar"/>
        </w:rPr>
        <w:t xml:space="preserve">specs/SPEC-003</w:t>
      </w:r>
      <w:r>
        <w:t xml:space="preserve">）再谈训练——合成集的块边界仅部分可辨识，不能把合成指标当真实性能。</w:t>
      </w:r>
    </w:p>
    <w:p>
      <w:r>
        <w:pict>
          <v:rect style="width:0;height:1.5pt" o:hralign="center" o:hrstd="t" o:hr="t"/>
        </w:pict>
      </w:r>
    </w:p>
    <w:bookmarkEnd w:id="23"/>
    <w:bookmarkStart w:id="24" w:name="X046f04532e276f5e760966d2096159cac3d7a09"/>
    <w:p>
      <w:pPr>
        <w:pStyle w:val="Heading2"/>
      </w:pPr>
      <w:r>
        <w:t xml:space="preserve">3. 硬件与环境</w:t>
      </w:r>
    </w:p>
    <w:tbl>
      <w:tblPr>
        <w:tblStyle w:val="Table"/>
        <w:tblW w:type="dxa" w:w="9638"/>
        <w:jc w:val="left"/>
        <w:tblLook w:firstRow="1" w:lastRow="0" w:firstColumn="0" w:lastColumn="0" w:noHBand="0" w:noVBand="0" w:val="0020"/>
      </w:tblPr>
      <w:tblGrid>
        <w:gridCol w:w="1700"/>
        <w:gridCol w:w="7938"/>
      </w:tblGrid>
      <w:tr>
        <w:trPr>
          <w:tblHeader w:val="on"/>
        </w:trPr>
        <w:tc>
          <w:tcPr>
            <w:tcW w:w="1700" w:type="dxa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W w:w="7938" w:type="dxa"/>
          </w:tcPr>
          <w:p>
            <w:pPr>
              <w:pStyle w:val="Compact"/>
              <w:jc w:val="left"/>
            </w:pPr>
            <w:r>
              <w:t xml:space="preserve">环境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t xml:space="preserve">训练</w:t>
            </w:r>
          </w:p>
        </w:tc>
        <w:tc>
          <w:tcPr>
            <w:tcW w:w="7938" w:type="dxa"/>
          </w:tcPr>
          <w:p>
            <w:pPr>
              <w:pStyle w:val="Compact"/>
              <w:jc w:val="left"/>
            </w:pPr>
            <w:r>
              <w:t xml:space="preserve">华为云 Ascend</w:t>
            </w:r>
            <w:r>
              <w:t xml:space="preserve"> </w:t>
            </w:r>
            <w:r>
              <w:rPr>
                <w:b/>
                <w:bCs/>
              </w:rPr>
              <w:t xml:space="preserve">910</w:t>
            </w:r>
            <w:r>
              <w:t xml:space="preserve">，CANN</w:t>
            </w:r>
            <w:r>
              <w:t xml:space="preserve"> </w:t>
            </w:r>
            <w:r>
              <w:rPr>
                <w:b/>
                <w:bCs/>
              </w:rPr>
              <w:t xml:space="preserve">9.0</w:t>
            </w:r>
            <w:r>
              <w:t xml:space="preserve">，torch</w:t>
            </w:r>
            <w:r>
              <w:t xml:space="preserve"> </w:t>
            </w:r>
            <w:r>
              <w:rPr>
                <w:b/>
                <w:bCs/>
              </w:rPr>
              <w:t xml:space="preserve">2.10</w:t>
            </w:r>
            <w:r>
              <w:t xml:space="preserve"> </w:t>
            </w:r>
            <w:r>
              <w:t xml:space="preserve">+ torch_npu</w:t>
            </w:r>
            <w:r>
              <w:t xml:space="preserve"> </w:t>
            </w:r>
            <w:r>
              <w:rPr>
                <w:b/>
                <w:bCs/>
              </w:rPr>
              <w:t xml:space="preserve">2.10</w:t>
            </w:r>
            <w:r>
              <w:t xml:space="preserve">，Python 3.11.15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t xml:space="preserve">本机</w:t>
            </w:r>
          </w:p>
        </w:tc>
        <w:tc>
          <w:tcPr>
            <w:tcW w:w="7938" w:type="dxa"/>
          </w:tcPr>
          <w:p>
            <w:pPr>
              <w:pStyle w:val="Compact"/>
              <w:jc w:val="left"/>
            </w:pPr>
            <w:r>
              <w:t xml:space="preserve">文档、站点构建、数据核对（无 GPU、无 numpy/torch，</w:t>
            </w:r>
            <w:r>
              <w:rPr>
                <w:b/>
                <w:bCs/>
              </w:rPr>
              <w:t xml:space="preserve">不训练</w:t>
            </w:r>
            <w:r>
              <w:t xml:space="preserve">）</w:t>
            </w:r>
          </w:p>
        </w:tc>
      </w:tr>
    </w:tbl>
    <w:p>
      <w:pPr>
        <w:pStyle w:val="BodyText"/>
      </w:pPr>
      <w:r>
        <w:t xml:space="preserve">训练机要点：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/usr/local/Ascend/ascend-toolkit/set_env.sh   </w:t>
      </w:r>
      <w:r>
        <w:rPr>
          <w:rStyle w:val="CommentTok"/>
        </w:rPr>
        <w:t xml:space="preserve"># 不 source 则 import torch 失败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OMP_NUM_THREADS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                            </w:t>
      </w:r>
      <w:r>
        <w:rPr>
          <w:rStyle w:val="CommentTok"/>
        </w:rPr>
        <w:t xml:space="preserve"># 不设则数据生成掉速到 ~170 patch/s</w:t>
      </w:r>
      <w:r>
        <w:br/>
      </w:r>
      <w:r>
        <w:rPr>
          <w:rStyle w:val="ExtensionTok"/>
        </w:rPr>
        <w:t xml:space="preserve">/usr/local/python3.11.15/bin/python3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daninet.net.train ...</w:t>
      </w:r>
    </w:p>
    <w:p>
      <w:pPr>
        <w:pStyle w:val="Compact"/>
        <w:numPr>
          <w:ilvl w:val="0"/>
          <w:numId w:val="1002"/>
        </w:numPr>
      </w:pPr>
      <w:r>
        <w:t xml:space="preserve">设备：</w:t>
      </w:r>
      <w:r>
        <w:rPr>
          <w:rStyle w:val="VerbatimChar"/>
        </w:rPr>
        <w:t xml:space="preserve">--device auto|npu|cuda|cpu</w:t>
      </w:r>
      <w:r>
        <w:t xml:space="preserve">（auto 优先 npu）；AMP 仅 CUDA 验证过，NPU 走 fp32 或显式</w:t>
      </w:r>
      <w:r>
        <w:t xml:space="preserve"> </w:t>
      </w:r>
      <w:r>
        <w:rPr>
          <w:rStyle w:val="VerbatimChar"/>
        </w:rPr>
        <w:t xml:space="preserve">--amp</w:t>
      </w:r>
    </w:p>
    <w:p>
      <w:pPr>
        <w:pStyle w:val="Compact"/>
        <w:numPr>
          <w:ilvl w:val="0"/>
          <w:numId w:val="1002"/>
        </w:numPr>
      </w:pPr>
      <w:r>
        <w:t xml:space="preserve">传输：</w:t>
      </w:r>
      <w:r>
        <w:rPr>
          <w:rStyle w:val="VerbatimChar"/>
        </w:rPr>
        <w:t xml:space="preserve">scp</w:t>
      </w:r>
      <w:r>
        <w:t xml:space="preserve"> </w:t>
      </w:r>
      <w:r>
        <w:t xml:space="preserve">不通，用</w:t>
      </w:r>
      <w:r>
        <w:t xml:space="preserve"> </w:t>
      </w:r>
      <w:r>
        <w:rPr>
          <w:rStyle w:val="VerbatimChar"/>
        </w:rPr>
        <w:t xml:space="preserve">ssh ... 'cat &gt; 远端路径' &lt; 本地文件</w:t>
      </w:r>
    </w:p>
    <w:p>
      <w:pPr>
        <w:pStyle w:val="Compact"/>
        <w:numPr>
          <w:ilvl w:val="0"/>
          <w:numId w:val="1002"/>
        </w:numPr>
      </w:pPr>
      <w:r>
        <w:t xml:space="preserve">长任务：</w:t>
      </w:r>
      <w:r>
        <w:rPr>
          <w:rStyle w:val="VerbatimChar"/>
        </w:rPr>
        <w:t xml:space="preserve">nohup setsid bash 脚本 &gt;&gt; logs/xx.log 2&gt;&amp;1 &lt;/dev/null &amp;</w:t>
      </w:r>
    </w:p>
    <w:p>
      <w:r>
        <w:pict>
          <v:rect style="width:0;height:1.5pt" o:hralign="center" o:hrstd="t" o:hr="t"/>
        </w:pict>
      </w:r>
    </w:p>
    <w:bookmarkEnd w:id="24"/>
    <w:bookmarkStart w:id="25" w:name="X295ddfd78c6026f410404029ccf552912ff4aac"/>
    <w:p>
      <w:pPr>
        <w:pStyle w:val="Heading2"/>
      </w:pPr>
      <w:r>
        <w:t xml:space="preserve">4. 目录结构</w:t>
      </w:r>
    </w:p>
    <w:p>
      <w:pPr>
        <w:pStyle w:val="SourceCode"/>
      </w:pPr>
      <w:r>
        <w:rPr>
          <w:rStyle w:val="VerbatimChar"/>
        </w:rPr>
        <w:t xml:space="preserve">daninet/               业务源码（Python 包）</w:t>
      </w:r>
      <w:r>
        <w:br/>
      </w:r>
      <w:r>
        <w:rPr>
          <w:rStyle w:val="VerbatimChar"/>
        </w:rPr>
        <w:t xml:space="preserve">├── net/               变化检测：model / train / metrics</w:t>
      </w:r>
      <w:r>
        <w:br/>
      </w:r>
      <w:r>
        <w:rPr>
          <w:rStyle w:val="VerbatimChar"/>
        </w:rPr>
        <w:t xml:space="preserve">├── edge/              块边界分割：model / synth / train / decode / ensemble</w:t>
      </w:r>
      <w:r>
        <w:br/>
      </w:r>
      <w:r>
        <w:rPr>
          <w:rStyle w:val="VerbatimChar"/>
        </w:rPr>
        <w:t xml:space="preserve">├── tools/             export_live（看板数据）、export_docs（文档导出）、</w:t>
      </w:r>
      <w:r>
        <w:br/>
      </w:r>
      <w:r>
        <w:rPr>
          <w:rStyle w:val="VerbatimChar"/>
        </w:rPr>
        <w:t xml:space="preserve">│                      visual_samples（逐像素抽样）、export_edge_visual（分割可视化）、</w:t>
      </w:r>
      <w:r>
        <w:br/>
      </w:r>
      <w:r>
        <w:rPr>
          <w:rStyle w:val="VerbatimChar"/>
        </w:rPr>
        <w:t xml:space="preserve">│                      parity_check（CPU/NPU 对齐）</w:t>
      </w:r>
      <w:r>
        <w:br/>
      </w:r>
      <w:r>
        <w:rPr>
          <w:rStyle w:val="VerbatimChar"/>
        </w:rPr>
        <w:t xml:space="preserve">├── runs/&lt;run&gt;/        metrics.json / log.txt / best.pt（权重不入库）</w:t>
      </w:r>
      <w:r>
        <w:br/>
      </w:r>
      <w:r>
        <w:rPr>
          <w:rStyle w:val="VerbatimChar"/>
        </w:rPr>
        <w:t xml:space="preserve">└── out/               图表与 summary</w:t>
      </w:r>
      <w:r>
        <w:br/>
      </w:r>
      <w:r>
        <w:rPr>
          <w:rStyle w:val="VerbatimChar"/>
        </w:rPr>
        <w:t xml:space="preserve">docs/                  GitHub Pages 源</w:t>
      </w:r>
      <w:r>
        <w:br/>
      </w:r>
      <w:r>
        <w:rPr>
          <w:rStyle w:val="VerbatimChar"/>
        </w:rPr>
        <w:t xml:space="preserve">├── visual/            可视化：segmentation（块分割）+ reproduction（复现）</w:t>
      </w:r>
      <w:r>
        <w:br/>
      </w:r>
      <w:r>
        <w:rPr>
          <w:rStyle w:val="VerbatimChar"/>
        </w:rPr>
        <w:t xml:space="preserve">├── documents/         文档区：本 README、矩阵分割、复现说明、分析、缺陷</w:t>
      </w:r>
      <w:r>
        <w:br/>
      </w:r>
      <w:r>
        <w:rPr>
          <w:rStyle w:val="VerbatimChar"/>
        </w:rPr>
        <w:t xml:space="preserve">├── live/              训练看板数据与页面</w:t>
      </w:r>
      <w:r>
        <w:br/>
      </w:r>
      <w:r>
        <w:rPr>
          <w:rStyle w:val="VerbatimChar"/>
        </w:rPr>
        <w:t xml:space="preserve">└── content/           人可编辑的 md 源（status-panel / analysis / gaps / segmentation）</w:t>
      </w:r>
      <w:r>
        <w:br/>
      </w:r>
      <w:r>
        <w:rPr>
          <w:rStyle w:val="VerbatimChar"/>
        </w:rPr>
        <w:t xml:space="preserve">.dsh/skills/           project-report（报告+站点）、data-refresh（全量更新，subagent 分工）</w:t>
      </w:r>
      <w:r>
        <w:br/>
      </w:r>
      <w:r>
        <w:rPr>
          <w:rStyle w:val="VerbatimChar"/>
        </w:rPr>
        <w:t xml:space="preserve">rules/ specs/          结构规则 / 方案（SPEC）</w:t>
      </w:r>
      <w:r>
        <w:br/>
      </w:r>
      <w:r>
        <w:rPr>
          <w:rStyle w:val="VerbatimChar"/>
        </w:rPr>
        <w:t xml:space="preserve">workspace/             论文 PDF、7z 归档（不入库）</w:t>
      </w:r>
      <w:r>
        <w:br/>
      </w:r>
      <w:r>
        <w:rPr>
          <w:rStyle w:val="VerbatimChar"/>
        </w:rPr>
        <w:t xml:space="preserve">handoff.md             跨 agent 进度看板</w:t>
      </w:r>
      <w:r>
        <w:br/>
      </w:r>
      <w:r>
        <w:rPr>
          <w:rStyle w:val="VerbatimChar"/>
        </w:rPr>
        <w:t xml:space="preserve">AGENTS.md              长期记忆</w:t>
      </w:r>
    </w:p>
    <w:p>
      <w:r>
        <w:pict>
          <v:rect style="width:0;height:1.5pt" o:hralign="center" o:hrstd="t" o:hr="t"/>
        </w:pict>
      </w:r>
    </w:p>
    <w:bookmarkEnd w:id="25"/>
    <w:bookmarkStart w:id="29" w:name="Xb6de248a78592e656b8b0f107d36a9b17e0bc11"/>
    <w:p>
      <w:pPr>
        <w:pStyle w:val="Heading2"/>
      </w:pPr>
      <w:r>
        <w:t xml:space="preserve">5. 怎么跑</w:t>
      </w:r>
    </w:p>
    <w:bookmarkStart w:id="26" w:name="训练变化检测"/>
    <w:p>
      <w:pPr>
        <w:pStyle w:val="Heading3"/>
      </w:pPr>
      <w:r>
        <w:t xml:space="preserve">训练（变化检测）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daninet.net.train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augmented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npu </w:t>
      </w:r>
      <w:r>
        <w:rPr>
          <w:rStyle w:val="AttributeTok"/>
        </w:rPr>
        <w:t xml:space="preserve">--amp</w:t>
      </w:r>
      <w:r>
        <w:rPr>
          <w:rStyle w:val="NormalTok"/>
        </w:rPr>
        <w:t xml:space="preserve"> auto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</w:t>
      </w:r>
      <w:r>
        <w:rPr>
          <w:rStyle w:val="NormalTok"/>
        </w:rPr>
        <w:t xml:space="preserve"> 9 16 36 121 </w:t>
      </w:r>
      <w:r>
        <w:rPr>
          <w:rStyle w:val="AttributeTok"/>
        </w:rPr>
        <w:t xml:space="preserve">--test-L</w:t>
      </w:r>
      <w:r>
        <w:rPr>
          <w:rStyle w:val="NormalTok"/>
        </w:rPr>
        <w:t xml:space="preserve"> 9 16 25 36 49 121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--patches</w:t>
      </w:r>
      <w:r>
        <w:rPr>
          <w:rStyle w:val="NormalTok"/>
        </w:rPr>
        <w:t xml:space="preserve"> 200000 </w:t>
      </w:r>
      <w:r>
        <w:rPr>
          <w:rStyle w:val="AttributeTok"/>
        </w:rPr>
        <w:t xml:space="preserve">--epochs</w:t>
      </w:r>
      <w:r>
        <w:rPr>
          <w:rStyle w:val="NormalTok"/>
        </w:rPr>
        <w:t xml:space="preserve"> 60 </w:t>
      </w:r>
      <w:r>
        <w:rPr>
          <w:rStyle w:val="AttributeTok"/>
        </w:rPr>
        <w:t xml:space="preserve">--batch</w:t>
      </w:r>
      <w:r>
        <w:rPr>
          <w:rStyle w:val="NormalTok"/>
        </w:rPr>
        <w:t xml:space="preserve"> 16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16 </w:t>
      </w:r>
      <w:r>
        <w:rPr>
          <w:rStyle w:val="AttributeTok"/>
        </w:rPr>
        <w:t xml:space="preserve">--prefetch</w:t>
      </w:r>
      <w:r>
        <w:rPr>
          <w:rStyle w:val="NormalTok"/>
        </w:rPr>
        <w:t xml:space="preserve"> 32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--blocks</w:t>
      </w:r>
      <w:r>
        <w:rPr>
          <w:rStyle w:val="NormalTok"/>
        </w:rPr>
        <w:t xml:space="preserve"> 10 </w:t>
      </w:r>
      <w:r>
        <w:rPr>
          <w:rStyle w:val="AttributeTok"/>
        </w:rPr>
        <w:t xml:space="preserve">--lr-drops</w:t>
      </w:r>
      <w:r>
        <w:rPr>
          <w:rStyle w:val="NormalTok"/>
        </w:rPr>
        <w:t xml:space="preserve"> 0.6:1e-5,0.85:1e-6 </w:t>
      </w:r>
      <w:r>
        <w:rPr>
          <w:rStyle w:val="AttributeTok"/>
        </w:rPr>
        <w:t xml:space="preserve">--patience</w:t>
      </w:r>
      <w:r>
        <w:rPr>
          <w:rStyle w:val="NormalTok"/>
        </w:rPr>
        <w:t xml:space="preserve"> 20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--resume</w:t>
      </w:r>
      <w:r>
        <w:rPr>
          <w:rStyle w:val="NormalTok"/>
        </w:rPr>
        <w:t xml:space="preserve"> auto </w:t>
      </w:r>
      <w:r>
        <w:rPr>
          <w:rStyle w:val="AttributeTok"/>
        </w:rPr>
        <w:t xml:space="preserve">--ckpt-every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a3_b10_p200k_e60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--resume auto|path</w:t>
      </w:r>
      <w:r>
        <w:t xml:space="preserve">：从</w:t>
      </w:r>
      <w:r>
        <w:t xml:space="preserve"> </w:t>
      </w:r>
      <w:r>
        <w:rPr>
          <w:rStyle w:val="VerbatimChar"/>
        </w:rPr>
        <w:t xml:space="preserve">last.pt</w:t>
      </w:r>
      <w:r>
        <w:t xml:space="preserve"> </w:t>
      </w:r>
      <w:r>
        <w:t xml:space="preserve">续训（只丢当前 epoch）；</w:t>
      </w:r>
      <w:r>
        <w:rPr>
          <w:rStyle w:val="VerbatimChar"/>
        </w:rPr>
        <w:t xml:space="preserve">--lr-drops</w:t>
      </w:r>
      <w:r>
        <w:t xml:space="preserve"> </w:t>
      </w:r>
      <w:r>
        <w:t xml:space="preserve">的键 ≤1 时按总 epoch 比例换算</w:t>
      </w:r>
    </w:p>
    <w:p>
      <w:pPr>
        <w:pStyle w:val="Compact"/>
        <w:numPr>
          <w:ilvl w:val="0"/>
          <w:numId w:val="1003"/>
        </w:numPr>
      </w:pPr>
      <w:r>
        <w:t xml:space="preserve">每 epoch 原子写</w:t>
      </w:r>
      <w:r>
        <w:t xml:space="preserve"> </w:t>
      </w:r>
      <w:r>
        <w:rPr>
          <w:rStyle w:val="VerbatimChar"/>
        </w:rPr>
        <w:t xml:space="preserve">metrics.partial.json</w:t>
      </w:r>
      <w:r>
        <w:t xml:space="preserve">，跑完写</w:t>
      </w:r>
      <w:r>
        <w:t xml:space="preserve"> </w:t>
      </w:r>
      <w:r>
        <w:rPr>
          <w:rStyle w:val="VerbatimChar"/>
        </w:rPr>
        <w:t xml:space="preserve">metrics.json</w:t>
      </w:r>
    </w:p>
    <w:bookmarkEnd w:id="26"/>
    <w:bookmarkStart w:id="27" w:name="训练块分割"/>
    <w:p>
      <w:pPr>
        <w:pStyle w:val="Heading3"/>
      </w:pPr>
      <w:r>
        <w:t xml:space="preserve">训练（块分割）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daninet.edge.train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edge_final_single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20261019 </w:t>
      </w:r>
      <w:r>
        <w:rPr>
          <w:rStyle w:val="AttributeTok"/>
        </w:rPr>
        <w:t xml:space="preserve">--epochs</w:t>
      </w:r>
      <w:r>
        <w:rPr>
          <w:rStyle w:val="NormalTok"/>
        </w:rPr>
        <w:t xml:space="preserve"> 60 </w:t>
      </w:r>
      <w:r>
        <w:rPr>
          <w:rStyle w:val="AttributeTok"/>
        </w:rPr>
        <w:t xml:space="preserve">--patches</w:t>
      </w:r>
      <w:r>
        <w:rPr>
          <w:rStyle w:val="NormalTok"/>
        </w:rPr>
        <w:t xml:space="preserve"> 32768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npu </w:t>
      </w:r>
      <w:r>
        <w:rPr>
          <w:rStyle w:val="AttributeTok"/>
        </w:rPr>
        <w:t xml:space="preserve">--amp</w:t>
      </w:r>
      <w:r>
        <w:rPr>
          <w:rStyle w:val="NormalTok"/>
        </w:rPr>
        <w:t xml:space="preserve"> auto</w:t>
      </w:r>
    </w:p>
    <w:bookmarkEnd w:id="27"/>
    <w:bookmarkStart w:id="28" w:name="可视化数据"/>
    <w:p>
      <w:pPr>
        <w:pStyle w:val="Heading3"/>
      </w:pPr>
      <w:r>
        <w:t xml:space="preserve">可视化数据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daninet/tools/export_edge_visual.py </w:t>
      </w:r>
      <w:r>
        <w:rPr>
          <w:rStyle w:val="AttributeTok"/>
        </w:rPr>
        <w:t xml:space="preserve">--run</w:t>
      </w:r>
      <w:r>
        <w:rPr>
          <w:rStyle w:val="NormalTok"/>
        </w:rPr>
        <w:t xml:space="preserve"> edge_final_single   </w:t>
      </w:r>
      <w:r>
        <w:rPr>
          <w:rStyle w:val="CommentTok"/>
        </w:rPr>
        <w:t xml:space="preserve"># 分割页 edge.json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daninet.tools.visual_samples </w:t>
      </w:r>
      <w:r>
        <w:rPr>
          <w:rStyle w:val="AttributeTok"/>
        </w:rPr>
        <w:t xml:space="preserve">--run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--out pixels.json </w:t>
      </w:r>
      <w:r>
        <w:rPr>
          <w:rStyle w:val="CommentTok"/>
        </w:rPr>
        <w:t xml:space="preserve"># 复现页逐像素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daninet/tools/export_live.py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.                          </w:t>
      </w:r>
      <w:r>
        <w:rPr>
          <w:rStyle w:val="CommentTok"/>
        </w:rPr>
        <w:t xml:space="preserve"># 看板数据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.dsh/skills/project-report/scripts/build_pages.py              </w:t>
      </w:r>
      <w:r>
        <w:rPr>
          <w:rStyle w:val="CommentTok"/>
        </w:rPr>
        <w:t xml:space="preserve"># 重建站点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 .dsh/skills/project-report/scripts/publish_site.sh               </w:t>
      </w:r>
      <w:r>
        <w:rPr>
          <w:rStyle w:val="CommentTok"/>
        </w:rPr>
        <w:t xml:space="preserve"># 发布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b76181da7373912c8c6dc5291b66da5244a3ab6"/>
    <w:p>
      <w:pPr>
        <w:pStyle w:val="Heading2"/>
      </w:pPr>
      <w:r>
        <w:t xml:space="preserve">6. 站点与文档体系</w:t>
      </w:r>
    </w:p>
    <w:tbl>
      <w:tblPr>
        <w:tblStyle w:val="Table"/>
        <w:tblW w:type="dxa" w:w="9638"/>
        <w:jc w:val="left"/>
        <w:tblLook w:firstRow="1" w:lastRow="0" w:firstColumn="0" w:lastColumn="0" w:noHBand="0" w:noVBand="0" w:val="0020"/>
      </w:tblPr>
      <w:tblGrid>
        <w:gridCol w:w="1572"/>
        <w:gridCol w:w="2019"/>
        <w:gridCol w:w="6047"/>
      </w:tblGrid>
      <w:tr>
        <w:trPr>
          <w:tblHeader w:val="on"/>
        </w:trPr>
        <w:tc>
          <w:tcPr>
            <w:tcW w:w="1572" w:type="dxa"/>
          </w:tcPr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>
            <w:tcW w:w="2019" w:type="dxa"/>
          </w:tcPr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>
            <w:tcW w:w="6047" w:type="dxa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>
            <w:tcW w:w="1572" w:type="dxa"/>
          </w:tcPr>
          <w:p>
            <w:pPr>
              <w:pStyle w:val="Compact"/>
              <w:jc w:val="left"/>
            </w:pPr>
            <w:r>
              <w:t xml:space="preserve">总览</w:t>
            </w:r>
          </w:p>
        </w:tc>
        <w:tc>
          <w:tcPr>
            <w:tcW w:w="201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>
            <w:tcW w:w="6047" w:type="dxa"/>
          </w:tcPr>
          <w:p>
            <w:pPr>
              <w:pStyle w:val="Compact"/>
              <w:jc w:val="left"/>
            </w:pPr>
            <w:r>
              <w:t xml:space="preserve">状态面板（人工维护</w:t>
            </w:r>
            <w:r>
              <w:t xml:space="preserve"> </w:t>
            </w:r>
            <w:r>
              <w:rPr>
                <w:rStyle w:val="VerbatimChar"/>
              </w:rPr>
              <w:t xml:space="preserve">docs/content/status-panel.md</w:t>
            </w:r>
            <w:r>
              <w:t xml:space="preserve">）+ 入口</w:t>
            </w:r>
          </w:p>
        </w:tc>
      </w:tr>
      <w:tr>
        <w:tc>
          <w:tcPr>
            <w:tcW w:w="1572" w:type="dxa"/>
          </w:tcPr>
          <w:p>
            <w:pPr>
              <w:pStyle w:val="Compact"/>
              <w:jc w:val="left"/>
            </w:pPr>
            <w:r>
              <w:t xml:space="preserve">训练看板</w:t>
            </w:r>
          </w:p>
        </w:tc>
        <w:tc>
          <w:tcPr>
            <w:tcW w:w="201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/live/</w:t>
            </w:r>
          </w:p>
        </w:tc>
        <w:tc>
          <w:tcPr>
            <w:tcW w:w="6047" w:type="dxa"/>
          </w:tcPr>
          <w:p>
            <w:pPr>
              <w:pStyle w:val="Compact"/>
              <w:jc w:val="left"/>
            </w:pPr>
            <w:r>
              <w:t xml:space="preserve">逐 epoch 曲线、回放（不自动播放）</w:t>
            </w:r>
          </w:p>
        </w:tc>
      </w:tr>
      <w:tr>
        <w:tc>
          <w:tcPr>
            <w:tcW w:w="1572" w:type="dxa"/>
          </w:tcPr>
          <w:p>
            <w:pPr>
              <w:pStyle w:val="Compact"/>
              <w:jc w:val="left"/>
            </w:pPr>
            <w:r>
              <w:t xml:space="preserve">数据分析</w:t>
            </w:r>
          </w:p>
        </w:tc>
        <w:tc>
          <w:tcPr>
            <w:tcW w:w="201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/analysis/</w:t>
            </w:r>
          </w:p>
        </w:tc>
        <w:tc>
          <w:tcPr>
            <w:tcW w:w="6047" w:type="dxa"/>
          </w:tcPr>
          <w:p>
            <w:pPr>
              <w:pStyle w:val="Compact"/>
              <w:jc w:val="left"/>
            </w:pPr>
            <w:r>
              <w:t xml:space="preserve">对照实验设置与结论</w:t>
            </w:r>
          </w:p>
        </w:tc>
      </w:tr>
      <w:tr>
        <w:tc>
          <w:tcPr>
            <w:tcW w:w="1572" w:type="dxa"/>
          </w:tcPr>
          <w:p>
            <w:pPr>
              <w:pStyle w:val="Compact"/>
              <w:jc w:val="left"/>
            </w:pPr>
            <w:r>
              <w:t xml:space="preserve">可视化</w:t>
            </w:r>
          </w:p>
        </w:tc>
        <w:tc>
          <w:tcPr>
            <w:tcW w:w="201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/visual/</w:t>
            </w:r>
          </w:p>
        </w:tc>
        <w:tc>
          <w:tcPr>
            <w:tcW w:w="6047" w:type="dxa"/>
          </w:tcPr>
          <w:p>
            <w:pPr>
              <w:pStyle w:val="Compact"/>
              <w:jc w:val="left"/>
            </w:pPr>
            <w:r>
              <w:t xml:space="preserve">入口：InSAR 块边界分割 / 论文复现</w:t>
            </w:r>
          </w:p>
        </w:tc>
      </w:tr>
      <w:tr>
        <w:tc>
          <w:tcPr>
            <w:tcW w:w="1572" w:type="dxa"/>
          </w:tcPr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tcPr>
            <w:tcW w:w="201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/documents/</w:t>
            </w:r>
          </w:p>
        </w:tc>
        <w:tc>
          <w:tcPr>
            <w:tcW w:w="6047" w:type="dxa"/>
          </w:tcPr>
          <w:p>
            <w:pPr>
              <w:pStyle w:val="Compact"/>
              <w:jc w:val="left"/>
            </w:pPr>
            <w:r>
              <w:t xml:space="preserve">本 README、矩阵分割、复现说明、分析、缺陷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报告</w:t>
      </w:r>
      <w:r>
        <w:t xml:space="preserve">（代码说明书 / 数据分析 / 缺陷分析 / 口语稿 / 代码包）：</w:t>
      </w:r>
      <w:r>
        <w:rPr>
          <w:rStyle w:val="VerbatimChar"/>
        </w:rPr>
        <w:t xml:space="preserve">.dsh/skills/project-report/SKILL.md</w:t>
      </w:r>
      <w:r>
        <w:t xml:space="preserve">，只在用户要求时生成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全量数据更新</w:t>
      </w:r>
      <w:r>
        <w:t xml:space="preserve">：</w:t>
      </w:r>
      <w:r>
        <w:rPr>
          <w:rStyle w:val="VerbatimChar"/>
        </w:rPr>
        <w:t xml:space="preserve">.dsh/skills/data-refresh/SKILL.md</w:t>
      </w:r>
      <w:r>
        <w:t xml:space="preserve">，强制 subagent 分工（collector 采集 / auditor 核数），主 agent 只裁决、提交、发布</w:t>
      </w:r>
    </w:p>
    <w:p>
      <w:r>
        <w:pict>
          <v:rect style="width:0;height:1.5pt" o:hralign="center" o:hrstd="t" o:hr="t"/>
        </w:pict>
      </w:r>
    </w:p>
    <w:bookmarkEnd w:id="30"/>
    <w:bookmarkStart w:id="31" w:name="Xfa469db0f4f372e4491901cc6898876791815b6"/>
    <w:p>
      <w:pPr>
        <w:pStyle w:val="Heading2"/>
      </w:pPr>
      <w:r>
        <w:t xml:space="preserve">7. 数据说明</w:t>
      </w:r>
    </w:p>
    <w:p>
      <w:pPr>
        <w:pStyle w:val="Compact"/>
        <w:numPr>
          <w:ilvl w:val="0"/>
          <w:numId w:val="1005"/>
        </w:numPr>
      </w:pPr>
      <w:r>
        <w:t xml:space="preserve">论文训练集是</w:t>
      </w:r>
      <w:r>
        <w:rPr>
          <w:b/>
          <w:bCs/>
        </w:rPr>
        <w:t xml:space="preserve">全因子枚举</w:t>
      </w:r>
      <w:r>
        <w:t xml:space="preserve">（附录 A）：每 L 1,855,740 片，合计 7,422,960 片</w:t>
      </w:r>
      <w:r>
        <w:t xml:space="preserve"> </w:t>
      </w:r>
      <w:r>
        <w:rPr>
          <w:rStyle w:val="VerbatimChar"/>
        </w:rPr>
        <w:t xml:space="preserve">[128,128,10]</w:t>
      </w:r>
      <w:r>
        <w:t xml:space="preserve">；测试集独立生成（L ∈ {9,16,25,36,49,121}，其中 25/49 训练未见）。</w:t>
      </w:r>
    </w:p>
    <w:p>
      <w:pPr>
        <w:pStyle w:val="Compact"/>
        <w:numPr>
          <w:ilvl w:val="0"/>
          <w:numId w:val="1005"/>
        </w:numPr>
      </w:pPr>
      <w:r>
        <w:t xml:space="preserve">本项目用</w:t>
      </w:r>
      <w:r>
        <w:rPr>
          <w:b/>
          <w:bCs/>
        </w:rPr>
        <w:t xml:space="preserve">同一参数集在线随机抽样</w:t>
      </w:r>
      <w:r>
        <w:t xml:space="preserve">：分布等价、可无限生成；离线落盘约 2.4–4.9 TB，本机磁盘不可行。</w:t>
      </w:r>
    </w:p>
    <w:p>
      <w:pPr>
        <w:pStyle w:val="Compact"/>
        <w:numPr>
          <w:ilvl w:val="0"/>
          <w:numId w:val="1005"/>
        </w:numPr>
      </w:pPr>
      <w:r>
        <w:t xml:space="preserve">块分割的合成矩阵为非负相干矩阵</w:t>
      </w:r>
      <w:r>
        <w:t xml:space="preserve"> </w:t>
      </w:r>
      <w:r>
        <w:rPr>
          <w:rStyle w:val="VerbatimChar"/>
        </w:rPr>
        <w:t xml:space="preserve">|γ| ∈ [0,1]</w:t>
      </w:r>
      <w:r>
        <w:t xml:space="preserve">，尺寸 14/17（未见 25），最小块宽 2，最多 4 个边界。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真实数据缺口</w:t>
      </w:r>
      <w:r>
        <w:t xml:space="preserve">：论文两例真实数据（冰岛 Sentinel-1、TanDEM-X）不可达；带标注的相干矩阵</w:t>
      </w:r>
      <w:r>
        <w:t xml:space="preserve"> </w:t>
      </w:r>
      <w:r>
        <w:rPr>
          <w:rStyle w:val="VerbatimChar"/>
        </w:rPr>
        <w:t xml:space="preserve">.mat</w:t>
      </w:r>
      <w:r>
        <w:t xml:space="preserve"> </w:t>
      </w:r>
      <w:r>
        <w:t xml:space="preserve">是下一项必需输入。</w:t>
      </w:r>
    </w:p>
    <w:p>
      <w:r>
        <w:pict>
          <v:rect style="width:0;height:1.5pt" o:hralign="center" o:hrstd="t" o:hr="t"/>
        </w:pict>
      </w:r>
    </w:p>
    <w:bookmarkEnd w:id="31"/>
    <w:bookmarkStart w:id="32" w:name="Xe367c5bee301cf0821e53c6eca087391939cf0c"/>
    <w:p>
      <w:pPr>
        <w:pStyle w:val="Heading2"/>
      </w:pPr>
      <w:r>
        <w:t xml:space="preserve">8. 常见问题</w:t>
      </w:r>
    </w:p>
    <w:tbl>
      <w:tblPr>
        <w:tblStyle w:val="Table"/>
        <w:tblW w:type="dxa" w:w="9638"/>
        <w:jc w:val="left"/>
        <w:tblLook w:firstRow="1" w:lastRow="0" w:firstColumn="0" w:lastColumn="0" w:noHBand="0" w:noVBand="0" w:val="0020"/>
      </w:tblPr>
      <w:tblGrid>
        <w:gridCol w:w="4819"/>
        <w:gridCol w:w="4819"/>
      </w:tblGrid>
      <w:tr>
        <w:trPr>
          <w:tblHeader w:val="on"/>
        </w:trPr>
        <w:tc>
          <w:tcPr>
            <w:tcW w:w="4819" w:type="dxa"/>
          </w:tcPr>
          <w:p>
            <w:pPr>
              <w:pStyle w:val="Compact"/>
              <w:jc w:val="left"/>
            </w:pPr>
            <w:r>
              <w:t xml:space="preserve">现象</w:t>
            </w:r>
          </w:p>
        </w:tc>
        <w:tc>
          <w:tcPr>
            <w:tcW w:w="4819" w:type="dxa"/>
          </w:tcPr>
          <w:p>
            <w:pPr>
              <w:pStyle w:val="Compact"/>
              <w:jc w:val="left"/>
            </w:pPr>
            <w:r>
              <w:t xml:space="preserve">处理</w:t>
            </w:r>
          </w:p>
        </w:tc>
      </w:tr>
      <w:tr>
        <w:tc>
          <w:tcPr>
            <w:tcW w:w="481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torch</w:t>
            </w:r>
            <w:r>
              <w:t xml:space="preserve"> </w:t>
            </w:r>
            <w:r>
              <w:t xml:space="preserve">报 torch_npu 加载失败</w:t>
            </w:r>
          </w:p>
        </w:tc>
        <w:tc>
          <w:tcPr>
            <w:tcW w:w="4819" w:type="dxa"/>
          </w:tcPr>
          <w:p>
            <w:pPr>
              <w:pStyle w:val="Compact"/>
              <w:jc w:val="left"/>
            </w:pPr>
            <w:r>
              <w:t xml:space="preserve">先</w:t>
            </w:r>
            <w:r>
              <w:t xml:space="preserve"> </w:t>
            </w:r>
            <w:r>
              <w:rPr>
                <w:rStyle w:val="VerbatimChar"/>
              </w:rPr>
              <w:t xml:space="preserve">source .../set_env.sh</w:t>
            </w:r>
          </w:p>
        </w:tc>
      </w:tr>
      <w:tr>
        <w:tc>
          <w:tcPr>
            <w:tcW w:w="4819" w:type="dxa"/>
          </w:tcPr>
          <w:p>
            <w:pPr>
              <w:pStyle w:val="Compact"/>
              <w:jc w:val="left"/>
            </w:pPr>
            <w:r>
              <w:t xml:space="preserve">数据生成吞吐只有 ~170 patch/s</w:t>
            </w:r>
          </w:p>
        </w:tc>
        <w:tc>
          <w:tcPr>
            <w:tcW w:w="481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 OMP_NUM_THREADS=1</w:t>
            </w:r>
          </w:p>
        </w:tc>
      </w:tr>
      <w:tr>
        <w:tc>
          <w:tcPr>
            <w:tcW w:w="4819" w:type="dxa"/>
          </w:tcPr>
          <w:p>
            <w:pPr>
              <w:pStyle w:val="Compact"/>
              <w:jc w:val="left"/>
            </w:pPr>
            <w:r>
              <w:t xml:space="preserve">A3 上 GitHub 不可达</w:t>
            </w:r>
          </w:p>
        </w:tc>
        <w:tc>
          <w:tcPr>
            <w:tcW w:w="4819" w:type="dxa"/>
          </w:tcPr>
          <w:p>
            <w:pPr>
              <w:pStyle w:val="Compact"/>
              <w:jc w:val="left"/>
            </w:pPr>
            <w: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git bundle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ssh 'cat &gt;'</w:t>
            </w:r>
            <w:r>
              <w:t xml:space="preserve"> </w:t>
            </w:r>
            <w:r>
              <w:t xml:space="preserve">传文件</w:t>
            </w:r>
          </w:p>
        </w:tc>
      </w:tr>
      <w:tr>
        <w:tc>
          <w:tcPr>
            <w:tcW w:w="4819" w:type="dxa"/>
          </w:tcPr>
          <w:p>
            <w:pPr>
              <w:pStyle w:val="Compact"/>
              <w:jc w:val="left"/>
            </w:pPr>
            <w:r>
              <w:t xml:space="preserve">站点数字与 metrics 不一致</w:t>
            </w:r>
          </w:p>
        </w:tc>
        <w:tc>
          <w:tcPr>
            <w:tcW w:w="4819" w:type="dxa"/>
          </w:tcPr>
          <w:p>
            <w:pPr>
              <w:pStyle w:val="Compact"/>
              <w:jc w:val="left"/>
            </w:pPr>
            <w:r>
              <w:t xml:space="preserve">跑</w:t>
            </w:r>
            <w:r>
              <w:t xml:space="preserve"> </w:t>
            </w:r>
            <w:r>
              <w:rPr>
                <w:rStyle w:val="VerbatimChar"/>
              </w:rPr>
              <w:t xml:space="preserve">data-refresh</w:t>
            </w:r>
            <w:r>
              <w:t xml:space="preserve"> </w:t>
            </w:r>
            <w:r>
              <w:t xml:space="preserve">的 auditor 步骤核数</w:t>
            </w:r>
          </w:p>
        </w:tc>
      </w:tr>
      <w:tr>
        <w:tc>
          <w:tcPr>
            <w:tcW w:w="4819" w:type="dxa"/>
          </w:tcPr>
          <w:p>
            <w:pPr>
              <w:pStyle w:val="Compact"/>
              <w:jc w:val="left"/>
            </w:pPr>
            <w:r>
              <w:t xml:space="preserve">推送失败</w:t>
            </w:r>
          </w:p>
        </w:tc>
        <w:tc>
          <w:tcPr>
            <w:tcW w:w="4819" w:type="dxa"/>
          </w:tcPr>
          <w:p>
            <w:pPr>
              <w:pStyle w:val="Compact"/>
              <w:jc w:val="left"/>
            </w:pPr>
            <w:r>
              <w:t xml:space="preserve">网络常态；记「待推送 N 个提交」，不 force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0b6c08cfb15e7b5698978a4a386498622431bb9"/>
    <w:p>
      <w:pPr>
        <w:pStyle w:val="Heading2"/>
      </w:pPr>
      <w:r>
        <w:t xml:space="preserve">9. 进度与协作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现在在干什么、下一步谁做</w:t>
      </w:r>
      <w:r>
        <w:t xml:space="preserve">：</w:t>
      </w:r>
      <w:r>
        <w:rPr>
          <w:rStyle w:val="VerbatimChar"/>
        </w:rPr>
        <w:t xml:space="preserve">handoff.md</w:t>
      </w:r>
      <w:r>
        <w:t xml:space="preserve">（跨 agent 交接看板）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长期事实、结论、纪律</w:t>
      </w:r>
      <w:r>
        <w:t xml:space="preserve">：</w:t>
      </w:r>
      <w:r>
        <w:rPr>
          <w:rStyle w:val="VerbatimChar"/>
        </w:rPr>
        <w:t xml:space="preserve">AGENTS.md</w:t>
      </w:r>
    </w:p>
    <w:p>
      <w:pPr>
        <w:pStyle w:val="Compact"/>
        <w:numPr>
          <w:ilvl w:val="0"/>
          <w:numId w:val="1006"/>
        </w:numPr>
      </w:pPr>
      <w:r>
        <w:t xml:space="preserve">提交纪律：本地优先，推送尽力而为；推送前需用户同意；站点走公开仓库</w:t>
      </w:r>
      <w:r>
        <w:t xml:space="preserve"> </w:t>
      </w:r>
      <w:r>
        <w:rPr>
          <w:rStyle w:val="VerbatimChar"/>
        </w:rPr>
        <w:t xml:space="preserve">Zoneip/insar-affair-site</w:t>
      </w:r>
    </w:p>
    <w:bookmarkEnd w:id="33"/>
    <w:sectPr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  <w:spacing w:before="0" w:after="0"/>
    </w:pPr>
    <w:r>
      <w:rPr>
        <w:color w:val="9A9A9A"/>
        <w:sz w:val="16"/>
      </w:rPr>
      <w:t xml:space="preserve">InSAR_affair  ·  </w:t>
    </w:r>
    <w:fldSimple w:instr=" PAGE ">
      <w:r>
        <w:rPr>
          <w:color w:val="9A9A9A"/>
          <w:sz w:val="16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微软雅黑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next w:val="Normal"/>
    <w:qFormat/>
    <w:pPr>
      <w:spacing w:after="140" w:before="0" w:line="300" w:lineRule="auto"/>
    </w:pPr>
    <w:rPr>
      <w:rFonts w:ascii="Calibri" w:cs="Calibri" w:eastAsia="微软雅黑" w:hAnsi="Calibri"/>
      <w:color w:val="1B2A33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Normal"/>
    <w:qFormat/>
    <w:pPr>
      <w:keepNext/>
      <w:spacing w:after="80" w:before="0"/>
    </w:pPr>
    <w:rPr>
      <w:rFonts w:ascii="Calibri" w:cs="Calibri" w:eastAsia="微软雅黑" w:hAnsi="Calibri"/>
      <w:b/>
      <w:bCs/>
      <w:color w:val="1B2A33"/>
      <w:sz w:val="40"/>
      <w:szCs w:val="40"/>
    </w:rPr>
  </w:style>
  <w:style w:styleId="Subtitle" w:type="paragraph">
    <w:name w:val="Subtitle"/>
    <w:basedOn w:val="Normal"/>
    <w:next w:val="Normal"/>
    <w:qFormat/>
    <w:pPr>
      <w:spacing w:after="200" w:before="0"/>
      <w:pBdr>
        <w:bottom w:color="D3CCBB" w:space="6" w:sz="6" w:val="single"/>
      </w:pBdr>
    </w:pPr>
    <w:rPr>
      <w:rFonts w:ascii="Calibri" w:cs="Calibri" w:eastAsia="微软雅黑" w:hAnsi="Calibri"/>
      <w:color w:val="6E6A60"/>
      <w:sz w:val="20"/>
      <w:szCs w:val="2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basedOn w:val="Normal"/>
    <w:next w:val="Normal"/>
    <w:qFormat/>
    <w:pPr>
      <w:spacing w:after="320" w:before="0"/>
    </w:pPr>
    <w:rPr>
      <w:rFonts w:ascii="Calibri" w:cs="Calibri" w:eastAsia="微软雅黑" w:hAnsi="Calibri"/>
      <w:color w:val="6E6A60"/>
      <w:sz w:val="18"/>
      <w:szCs w:val="18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qFormat/>
    <w:pPr>
      <w:keepNext/>
      <w:spacing w:after="140" w:before="440"/>
      <w:pBdr>
        <w:bottom w:color="D3CCBB" w:space="6" w:sz="6" w:val="single"/>
      </w:pBdr>
    </w:pPr>
    <w:rPr>
      <w:rFonts w:ascii="Calibri" w:cs="Calibri" w:eastAsia="微软雅黑" w:hAnsi="Calibri"/>
      <w:b/>
      <w:bCs/>
      <w:color w:val="1B2A33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spacing w:after="100" w:before="320"/>
    </w:pPr>
    <w:rPr>
      <w:rFonts w:ascii="Calibri" w:cs="Calibri" w:eastAsia="微软雅黑" w:hAnsi="Calibri"/>
      <w:b/>
      <w:bCs/>
      <w:color w:val="1B2A33"/>
      <w:sz w:val="24"/>
      <w:szCs w:val="24"/>
    </w:rPr>
  </w:style>
  <w:style w:styleId="Heading3" w:type="paragraph">
    <w:name w:val="heading 3"/>
    <w:basedOn w:val="Normal"/>
    <w:next w:val="Normal"/>
    <w:qFormat/>
    <w:pPr>
      <w:keepNext/>
      <w:spacing w:after="80" w:before="260"/>
    </w:pPr>
    <w:rPr>
      <w:rFonts w:ascii="Calibri" w:cs="Calibri" w:eastAsia="微软雅黑" w:hAnsi="Calibri"/>
      <w:b/>
      <w:bCs/>
      <w:color w:val="333333"/>
      <w:sz w:val="21"/>
      <w:szCs w:val="21"/>
    </w:rPr>
  </w:style>
  <w:style w:styleId="Heading4" w:type="paragraph">
    <w:name w:val="heading 4"/>
    <w:basedOn w:val="Normal"/>
    <w:next w:val="Normal"/>
    <w:qFormat/>
    <w:pPr>
      <w:keepNext/>
      <w:spacing w:after="60" w:before="220"/>
    </w:pPr>
    <w:rPr>
      <w:rFonts w:ascii="Calibri" w:cs="Calibri" w:eastAsia="微软雅黑" w:hAnsi="Calibri"/>
      <w:b/>
      <w:bCs/>
      <w:color w:val="3F3F3F"/>
      <w:sz w:val="20"/>
      <w:szCs w:val="20"/>
    </w:rPr>
  </w:style>
  <w:style w:styleId="Heading5" w:type="paragraph">
    <w:name w:val="heading 5"/>
    <w:basedOn w:val="Normal"/>
    <w:next w:val="Normal"/>
    <w:qFormat/>
    <w:pPr>
      <w:keepNext/>
      <w:spacing w:after="60" w:before="220"/>
    </w:pPr>
    <w:rPr>
      <w:rFonts w:ascii="Calibri" w:cs="Calibri" w:eastAsia="微软雅黑" w:hAnsi="Calibri"/>
      <w:b/>
      <w:bCs/>
      <w:color w:val="3F3F3F"/>
      <w:sz w:val="20"/>
      <w:szCs w:val="20"/>
    </w:rPr>
  </w:style>
  <w:style w:styleId="Heading6" w:type="paragraph">
    <w:name w:val="heading 6"/>
    <w:basedOn w:val="Normal"/>
    <w:next w:val="Normal"/>
    <w:qFormat/>
    <w:pPr>
      <w:keepNext/>
      <w:spacing w:after="60" w:before="220"/>
    </w:pPr>
    <w:rPr>
      <w:rFonts w:ascii="Calibri" w:cs="Calibri" w:eastAsia="微软雅黑" w:hAnsi="Calibri"/>
      <w:b/>
      <w:bCs/>
      <w:color w:val="3F3F3F"/>
      <w:sz w:val="20"/>
      <w:szCs w:val="20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Normal"/>
    <w:qFormat/>
    <w:pPr>
      <w:spacing w:after="140" w:before="120" w:line="290" w:lineRule="auto"/>
      <w:pBdr>
        <w:left w:color="9CC6BE" w:space="10" w:sz="18" w:val="single"/>
      </w:pBdr>
      <w:ind w:left="240" w:right="160"/>
      <w:shd w:color="auto" w:fill="F7F4EC" w:val="clear"/>
    </w:pPr>
    <w:rPr>
      <w:rFonts w:ascii="Calibri" w:cs="Calibri" w:eastAsia="微软雅黑" w:hAnsi="Calibri"/>
      <w:color w:val="333333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Normal"/>
    <w:qFormat/>
    <w:pPr>
      <w:spacing w:after="200" w:before="60"/>
    </w:pPr>
    <w:rPr>
      <w:rFonts w:ascii="Calibri" w:cs="Calibri" w:eastAsia="微软雅黑" w:hAnsi="Calibri"/>
      <w:i/>
      <w:iCs/>
      <w:color w:val="6E6A60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Author" w:type="paragraph">
    <w:name w:val="Author"/>
    <w:basedOn w:val="Normal"/>
    <w:next w:val="Normal"/>
    <w:qFormat/>
    <w:pPr>
      <w:spacing w:after="60" w:before="0"/>
    </w:pPr>
    <w:rPr>
      <w:rFonts w:ascii="Calibri" w:cs="Calibri" w:eastAsia="微软雅黑" w:hAnsi="Calibri"/>
      <w:color w:val="6E6A60"/>
      <w:sz w:val="18"/>
      <w:szCs w:val="18"/>
    </w:rPr>
  </w:style>
  <w:style w:styleId="FirstParagraph" w:type="paragraph">
    <w:name w:val="First Paragraph"/>
    <w:basedOn w:val="Normal"/>
    <w:next w:val="Normal"/>
    <w:qFormat/>
    <w:pPr>
      <w:spacing w:after="140" w:before="0" w:line="300" w:lineRule="auto"/>
    </w:pPr>
    <w:rPr>
      <w:rFonts w:ascii="Calibri" w:cs="Calibri" w:eastAsia="微软雅黑" w:hAnsi="Calibri"/>
      <w:color w:val="1B2A33"/>
      <w:sz w:val="21"/>
      <w:szCs w:val="21"/>
    </w:rPr>
  </w:style>
  <w:style w:styleId="Compact" w:type="paragraph">
    <w:name w:val="Compact"/>
    <w:basedOn w:val="Normal"/>
    <w:next w:val="Normal"/>
    <w:qFormat/>
    <w:pPr>
      <w:spacing w:after="20" w:before="0" w:line="290" w:lineRule="auto"/>
    </w:pPr>
    <w:rPr>
      <w:rFonts w:ascii="Calibri" w:cs="Calibri" w:eastAsia="微软雅黑" w:hAnsi="Calibri"/>
      <w:color w:val="1B2A33"/>
      <w:sz w:val="21"/>
      <w:szCs w:val="21"/>
    </w:rPr>
  </w:style>
  <w:style w:styleId="Caption" w:type="paragraph">
    <w:name w:val="caption"/>
    <w:basedOn w:val="Normal"/>
    <w:next w:val="Normal"/>
    <w:qFormat/>
    <w:pPr>
      <w:spacing w:after="200" w:before="60"/>
    </w:pPr>
    <w:rPr>
      <w:rFonts w:ascii="Calibri" w:cs="Calibri" w:eastAsia="微软雅黑" w:hAnsi="Calibri"/>
      <w:i/>
      <w:iCs/>
      <w:color w:val="6E6A60"/>
      <w:sz w:val="18"/>
      <w:szCs w:val="18"/>
    </w:rPr>
  </w:style>
  <w:style w:styleId="Caption" w:type="paragraph">
    <w:name w:val="caption"/>
    <w:basedOn w:val="Normal"/>
    <w:next w:val="Normal"/>
    <w:qFormat/>
    <w:pPr>
      <w:spacing w:after="200" w:before="60"/>
    </w:pPr>
    <w:rPr>
      <w:rFonts w:ascii="Calibri" w:cs="Calibri" w:eastAsia="微软雅黑" w:hAnsi="Calibri"/>
      <w:i/>
      <w:iCs/>
      <w:color w:val="6E6A60"/>
      <w:sz w:val="18"/>
      <w:szCs w:val="18"/>
    </w:rPr>
  </w:style>
  <w:style w:styleId="SourceCode" w:type="paragraph">
    <w:name w:val="Source Code"/>
    <w:basedOn w:val="Normal"/>
    <w:qFormat/>
    <w:pPr>
      <w:spacing w:after="80" w:before="80" w:line="260" w:lineRule="auto"/>
      <w:shd w:color="auto" w:fill="F7F4EC" w:val="clear"/>
      <w:pBdr>
        <w:left w:color="9CC6BE" w:space="8" w:sz="18" w:val="single"/>
      </w:pBdr>
      <w:ind w:left="120" w:right="120"/>
    </w:pPr>
    <w:rPr>
      <w:rFonts w:ascii="Consolas" w:cs="Consolas" w:eastAsia="Consolas" w:hAnsi="Consolas"/>
      <w:color w:val="242424"/>
      <w:sz w:val="18"/>
      <w:szCs w:val="18"/>
    </w:rPr>
  </w:style>
  <w:style w:styleId="VerbatimChar" w:type="character">
    <w:name w:val="Verbatim Char"/>
    <w:basedOn w:val="DefaultParagraphFont"/>
    <w:rPr>
      <w:rFonts w:ascii="Consolas" w:cs="Consolas" w:eastAsia="Consolas" w:hAnsi="Consolas"/>
      <w:color w:val="242424"/>
      <w:sz w:val="19"/>
      <w:szCs w:val="19"/>
    </w:rPr>
  </w:style>
  <w:style w:styleId="Table" w:type="table">
    <w:name w:val="Table"/>
    <w:qFormat/>
    <w:tblPr>
      <w:tblBorders>
        <w:top w:color="D3CCBB" w:sz="8" w:val="single"/>
        <w:bottom w:color="D3CCBB" w:sz="8" w:val="single"/>
        <w:insideH w:color="E7E2D6" w:sz="4" w:val="single"/>
        <w:left w:sz="0" w:val="none"/>
        <w:right w:sz="0" w:val="none"/>
        <w:insideV w:sz="0" w:val="none"/>
      </w:tblBorders>
      <w:tblCellMar>
        <w:top w:type="dxa" w:w="90"/>
        <w:bottom w:type="dxa" w:w="90"/>
        <w:left w:type="dxa" w:w="120"/>
        <w:right w:type="dxa" w:w="120"/>
      </w:tblCellMar>
    </w:tblPr>
    <w:tblStylePr w:type="firstRow">
      <w:rPr>
        <w:rFonts w:ascii="Calibri" w:cs="Calibri" w:eastAsia="微软雅黑" w:hAnsi="Calibri"/>
        <w:b/>
        <w:bCs/>
        <w:color w:val="1B2A33"/>
        <w:sz w:val="19"/>
        <w:szCs w:val="19"/>
      </w:rPr>
      <w:tcPr>
        <w:shd w:color="auto" w:fill="F2EEE3" w:val="clear"/>
      </w:tcPr>
    </w:tblStyle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20" Target="https://zoneip.github.io/insar-affair-site/" TargetMode="External" /><Relationship Type="http://schemas.openxmlformats.org/officeDocument/2006/relationships/hyperlink" Id="rId21" Target="https://zoneip.github.io/insar-affair-site/documen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zoneip.github.io/insar-affair-site/" TargetMode="External" /><Relationship Type="http://schemas.openxmlformats.org/officeDocument/2006/relationships/hyperlink" Id="rId21" Target="https://zoneip.github.io/insar-affair-site/documen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 README</dc:title>
  <dc:creator/>
  <cp:keywords/>
  <dcterms:created xsi:type="dcterms:W3CDTF">2026-10-22T16:28:44Z</dcterms:created>
  <dcterms:modified xsi:type="dcterms:W3CDTF">2026-10-22T16:28:44Z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2026-10-23</vt:lpwstr>
  </property>
  <property fmtid="{D5CDD505-2E9C-101B-9397-08002B2CF9AE}" pid="3" name="subtitle">
    <vt:lpwstr>项目定位、两条产品线、环境与目录速查</vt:lpwstr>
  </property>
</Properties>
</file>