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数据分析</w:t>
      </w:r>
    </w:p>
    <w:p>
      <w:pPr>
        <w:pStyle w:val="Subtitle"/>
      </w:pPr>
      <w:r>
        <w:t xml:space="preserve">实验设置、对照结果与三条结论</w:t>
      </w:r>
    </w:p>
    <w:p>
      <w:pPr>
        <w:pStyle w:val="Date"/>
      </w:pPr>
      <w:r>
        <w:t xml:space="preserve">2026-10-19</w:t>
      </w:r>
    </w:p>
    <w:p>
      <w:pPr>
        <w:pStyle w:val="FirstParagraph"/>
      </w:pPr>
      <w:r>
        <w:t xml:space="preserve">本页汇总 2026-10-19 在单卡 Ascend910_9382 上的复现结果。所有数值取自</w:t>
      </w:r>
      <w:r>
        <w:t xml:space="preserve"> </w:t>
      </w:r>
      <w:r>
        <w:rPr>
          <w:rStyle w:val="VerbatimChar"/>
        </w:rPr>
        <w:t xml:space="preserve">daninet/runs/&lt;run&gt;/metrics.json</w:t>
      </w:r>
      <w:r>
        <w:t xml:space="preserve">，可用页面底部命令复算。</w:t>
      </w:r>
    </w:p>
    <w:bookmarkStart w:id="20" w:name="实验设置"/>
    <w:p>
      <w:pPr>
        <w:pStyle w:val="Heading2"/>
      </w:pPr>
      <w:r>
        <w:t xml:space="preserve">实验设置</w:t>
      </w:r>
    </w:p>
    <w:tbl>
      <w:tblPr>
        <w:tblStyle w:val="Table"/>
        <w:tblW w:type="dxa" w:w="9638"/>
        <w:jc w:val="left"/>
        <w:tblLook w:firstRow="1" w:lastRow="0" w:firstColumn="0" w:lastColumn="0" w:noHBand="0" w:noVBand="0" w:val="0020"/>
      </w:tblPr>
      <w:tblGrid>
        <w:gridCol w:w="2599"/>
        <w:gridCol w:w="7039"/>
      </w:tblGrid>
      <w:tr>
        <w:trPr>
          <w:tblHeader w:val="on"/>
        </w:trPr>
        <w:tc>
          <w:tcPr>
            <w:tcW w:w="2599" w:type="dxa"/>
          </w:tcPr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>
            <w:tcW w:w="7039" w:type="dxa"/>
          </w:tcPr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>
            <w:tcW w:w="2599" w:type="dxa"/>
          </w:tcPr>
          <w:p>
            <w:pPr>
              <w:pStyle w:val="Compact"/>
              <w:jc w:val="left"/>
            </w:pPr>
            <w:r>
              <w:t xml:space="preserve">输入</w:t>
            </w:r>
          </w:p>
        </w:tc>
        <w:tc>
          <w:tcPr>
            <w:tcW w:w="7039" w:type="dxa"/>
          </w:tcPr>
          <w:p>
            <w:pPr>
              <w:pStyle w:val="Compact"/>
              <w:jc w:val="left"/>
            </w:pPr>
            <w:r>
              <w:t xml:space="preserve">4 个幅度 + 6 个相干，</w:t>
            </w:r>
            <w:r>
              <w:rPr>
                <w:rStyle w:val="VerbatimChar"/>
              </w:rPr>
              <w:t xml:space="preserve">10 × 128 × 128</w:t>
            </w:r>
          </w:p>
        </w:tc>
      </w:tr>
      <w:tr>
        <w:tc>
          <w:tcPr>
            <w:tcW w:w="2599" w:type="dxa"/>
          </w:tcPr>
          <w:p>
            <w:pPr>
              <w:pStyle w:val="Compact"/>
              <w:jc w:val="left"/>
            </w:pPr>
            <w:r>
              <w:t xml:space="preserve">网络</w:t>
            </w:r>
          </w:p>
        </w:tc>
        <w:tc>
          <w:tcPr>
            <w:tcW w:w="7039" w:type="dxa"/>
          </w:tcPr>
          <w:p>
            <w:pPr>
              <w:pStyle w:val="Compact"/>
              <w:jc w:val="left"/>
            </w:pPr>
            <w:r>
              <w:t xml:space="preserve">全卷积、无池化；5 blocks = 759,124 参数；10 blocks = 1,498,324</w:t>
            </w:r>
          </w:p>
        </w:tc>
      </w:tr>
      <w:tr>
        <w:tc>
          <w:tcPr>
            <w:tcW w:w="2599" w:type="dxa"/>
          </w:tcPr>
          <w:p>
            <w:pPr>
              <w:pStyle w:val="Compact"/>
              <w:jc w:val="left"/>
            </w:pPr>
            <w:r>
              <w:t xml:space="preserve">训练视数</w:t>
            </w:r>
          </w:p>
        </w:tc>
        <w:tc>
          <w:tcPr>
            <w:tcW w:w="7039" w:type="dxa"/>
          </w:tcPr>
          <w:p>
            <w:pPr>
              <w:pStyle w:val="Compact"/>
              <w:jc w:val="left"/>
            </w:pPr>
            <w:r>
              <w:t xml:space="preserve">9 / 16 / 36 / 121（augmented 模式混合采样）</w:t>
            </w:r>
          </w:p>
        </w:tc>
      </w:tr>
      <w:tr>
        <w:tc>
          <w:tcPr>
            <w:tcW w:w="2599" w:type="dxa"/>
          </w:tcPr>
          <w:p>
            <w:pPr>
              <w:pStyle w:val="Compact"/>
              <w:jc w:val="left"/>
            </w:pPr>
            <w:r>
              <w:t xml:space="preserve">测试视数</w:t>
            </w:r>
          </w:p>
        </w:tc>
        <w:tc>
          <w:tcPr>
            <w:tcW w:w="7039" w:type="dxa"/>
          </w:tcPr>
          <w:p>
            <w:pPr>
              <w:pStyle w:val="Compact"/>
              <w:jc w:val="left"/>
            </w:pPr>
            <w:r>
              <w:t xml:space="preserve">9 / 16 / 25 / 36 / 49 / 121，其中</w:t>
            </w:r>
            <w:r>
              <w:t xml:space="preserve"> </w:t>
            </w:r>
            <w:r>
              <w:rPr>
                <w:b/>
                <w:bCs/>
              </w:rPr>
              <w:t xml:space="preserve">25、49 未参与训练</w:t>
            </w:r>
          </w:p>
        </w:tc>
      </w:tr>
      <w:tr>
        <w:tc>
          <w:tcPr>
            <w:tcW w:w="2599" w:type="dxa"/>
          </w:tcPr>
          <w:p>
            <w:pPr>
              <w:pStyle w:val="Compact"/>
              <w:jc w:val="left"/>
            </w:pPr>
            <w:r>
              <w:t xml:space="preserve">损失</w:t>
            </w:r>
          </w:p>
        </w:tc>
        <w:tc>
          <w:tcPr>
            <w:tcW w:w="7039" w:type="dxa"/>
          </w:tcPr>
          <w:p>
            <w:pPr>
              <w:pStyle w:val="Compact"/>
              <w:jc w:val="left"/>
            </w:pPr>
            <w:r>
              <w:t xml:space="preserve">Categorical Cross-Entropy（Eq. 34），Adam，学习率按 Eq. 35 三段下降</w:t>
            </w:r>
          </w:p>
        </w:tc>
      </w:tr>
      <w:tr>
        <w:tc>
          <w:tcPr>
            <w:tcW w:w="2599" w:type="dxa"/>
          </w:tcPr>
          <w:p>
            <w:pPr>
              <w:pStyle w:val="Compact"/>
              <w:jc w:val="left"/>
            </w:pPr>
            <w:r>
              <w:t xml:space="preserve">数据</w:t>
            </w:r>
          </w:p>
        </w:tc>
        <w:tc>
          <w:tcPr>
            <w:tcW w:w="7039" w:type="dxa"/>
          </w:tcPr>
          <w:p>
            <w:pPr>
              <w:pStyle w:val="Compact"/>
              <w:jc w:val="left"/>
            </w:pPr>
            <w:r>
              <w:t xml:space="preserve">在线合成，不落盘；每 batch 固定 seed，保证可复现</w:t>
            </w:r>
          </w:p>
        </w:tc>
      </w:tr>
    </w:tbl>
    <w:bookmarkEnd w:id="20"/>
    <w:bookmarkStart w:id="21" w:name="结果对比"/>
    <w:p>
      <w:pPr>
        <w:pStyle w:val="Heading2"/>
      </w:pPr>
      <w:r>
        <w:t xml:space="preserve">结果对比</w:t>
      </w:r>
    </w:p>
    <w:tbl>
      <w:tblPr>
        <w:tblStyle w:val="Table"/>
        <w:tblW w:type="dxa" w:w="9638"/>
        <w:jc w:val="left"/>
        <w:tblLook w:firstRow="1" w:lastRow="0" w:firstColumn="0" w:lastColumn="0" w:noHBand="0" w:noVBand="0" w:val="0020"/>
      </w:tblPr>
      <w:tblGrid>
        <w:gridCol w:w="2424"/>
        <w:gridCol w:w="2946"/>
        <w:gridCol w:w="1008"/>
        <w:gridCol w:w="1008"/>
        <w:gridCol w:w="1008"/>
        <w:gridCol w:w="1244"/>
      </w:tblGrid>
      <w:tr>
        <w:trPr>
          <w:tblHeader w:val="on"/>
        </w:trPr>
        <w:tc>
          <w:tcPr>
            <w:tcW w:w="2424" w:type="dxa"/>
          </w:tcPr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>
            <w:tcW w:w="2946" w:type="dxa"/>
          </w:tcPr>
          <w:p>
            <w:pPr>
              <w:pStyle w:val="Compact"/>
              <w:jc w:val="left"/>
            </w:pPr>
            <w:r>
              <w:t xml:space="preserve">设备 / 配置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t xml:space="preserve">L=9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t xml:space="preserve">L=25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t xml:space="preserve">L=121</w:t>
            </w:r>
          </w:p>
        </w:tc>
        <w:tc>
          <w:tcPr>
            <w:tcW w:w="1244" w:type="dxa"/>
          </w:tcPr>
          <w:p>
            <w:pPr>
              <w:pStyle w:val="Compact"/>
              <w:jc w:val="right"/>
            </w:pPr>
            <w:r>
              <w:t xml:space="preserve">训练耗时</w:t>
            </w:r>
          </w:p>
        </w:tc>
      </w:tr>
      <w:tr>
        <w:tc>
          <w:tcPr>
            <w:tcW w:w="2424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final_augmented_v2</w:t>
            </w:r>
          </w:p>
        </w:tc>
        <w:tc>
          <w:tcPr>
            <w:tcW w:w="2946" w:type="dxa"/>
          </w:tcPr>
          <w:p>
            <w:pPr>
              <w:pStyle w:val="Compact"/>
              <w:jc w:val="left"/>
            </w:pPr>
            <w:r>
              <w:t xml:space="preserve">RTX 4060 · 5 blocks · fp32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t xml:space="preserve">0.7020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t xml:space="preserve">0.7292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t xml:space="preserve">0.7689</w:t>
            </w:r>
          </w:p>
        </w:tc>
        <w:tc>
          <w:tcPr>
            <w:tcW w:w="1244" w:type="dxa"/>
          </w:tcPr>
          <w:p>
            <w:pPr>
              <w:pStyle w:val="Compact"/>
              <w:jc w:val="right"/>
            </w:pPr>
            <w:r>
              <w:t xml:space="preserve">28.1 min</w:t>
            </w:r>
          </w:p>
        </w:tc>
      </w:tr>
      <w:tr>
        <w:tc>
          <w:tcPr>
            <w:tcW w:w="2424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a3_augmented_e15</w:t>
            </w:r>
          </w:p>
        </w:tc>
        <w:tc>
          <w:tcPr>
            <w:tcW w:w="2946" w:type="dxa"/>
          </w:tcPr>
          <w:p>
            <w:pPr>
              <w:pStyle w:val="Compact"/>
              <w:jc w:val="left"/>
            </w:pPr>
            <w:r>
              <w:t xml:space="preserve">Ascend910 · 5 blocks · fp32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t xml:space="preserve">0.7020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t xml:space="preserve">0.7291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t xml:space="preserve">0.7689</w:t>
            </w:r>
          </w:p>
        </w:tc>
        <w:tc>
          <w:tcPr>
            <w:tcW w:w="1244" w:type="dxa"/>
          </w:tcPr>
          <w:p>
            <w:pPr>
              <w:pStyle w:val="Compact"/>
              <w:jc w:val="right"/>
            </w:pPr>
            <w:r>
              <w:t xml:space="preserve">8.9 min</w:t>
            </w:r>
          </w:p>
        </w:tc>
      </w:tr>
      <w:tr>
        <w:tc>
          <w:tcPr>
            <w:tcW w:w="2424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a3_amp_b16_e15</w:t>
            </w:r>
          </w:p>
        </w:tc>
        <w:tc>
          <w:tcPr>
            <w:tcW w:w="2946" w:type="dxa"/>
          </w:tcPr>
          <w:p>
            <w:pPr>
              <w:pStyle w:val="Compact"/>
              <w:jc w:val="left"/>
            </w:pPr>
            <w:r>
              <w:t xml:space="preserve">Ascend910 · 5 blocks ·</w:t>
            </w:r>
            <w:r>
              <w:t xml:space="preserve"> </w:t>
            </w:r>
            <w:r>
              <w:rPr>
                <w:b/>
                <w:bCs/>
              </w:rPr>
              <w:t xml:space="preserve">AMP+fp16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t xml:space="preserve">0.7021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t xml:space="preserve">0.7291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t xml:space="preserve">0.7689</w:t>
            </w:r>
          </w:p>
        </w:tc>
        <w:tc>
          <w:tcPr>
            <w:tcW w:w="1244" w:type="dxa"/>
          </w:tcPr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5.8 min</w:t>
            </w:r>
          </w:p>
        </w:tc>
      </w:tr>
      <w:tr>
        <w:tc>
          <w:tcPr>
            <w:tcW w:w="2424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a3_amp_b16_b10_e15</w:t>
            </w:r>
          </w:p>
        </w:tc>
        <w:tc>
          <w:tcPr>
            <w:tcW w:w="2946" w:type="dxa"/>
          </w:tcPr>
          <w:p>
            <w:pPr>
              <w:pStyle w:val="Compact"/>
              <w:jc w:val="left"/>
            </w:pPr>
            <w:r>
              <w:t xml:space="preserve">Ascend910 ·</w:t>
            </w:r>
            <w:r>
              <w:t xml:space="preserve"> </w:t>
            </w:r>
            <w:r>
              <w:rPr>
                <w:b/>
                <w:bCs/>
              </w:rPr>
              <w:t xml:space="preserve">10 blocks</w:t>
            </w:r>
            <w:r>
              <w:t xml:space="preserve"> </w:t>
            </w:r>
            <w:r>
              <w:t xml:space="preserve">· AMP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0.7426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0.7604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0.7916</w:t>
            </w:r>
          </w:p>
        </w:tc>
        <w:tc>
          <w:tcPr>
            <w:tcW w:w="1244" w:type="dxa"/>
          </w:tcPr>
          <w:p>
            <w:pPr>
              <w:pStyle w:val="Compact"/>
              <w:jc w:val="right"/>
            </w:pPr>
            <w:r>
              <w:t xml:space="preserve">7.9 min</w:t>
            </w:r>
          </w:p>
        </w:tc>
      </w:tr>
      <w:tr>
        <w:tc>
          <w:tcPr>
            <w:tcW w:w="2424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a3_b10_e25</w:t>
            </w:r>
          </w:p>
        </w:tc>
        <w:tc>
          <w:tcPr>
            <w:tcW w:w="2946" w:type="dxa"/>
          </w:tcPr>
          <w:p>
            <w:pPr>
              <w:pStyle w:val="Compact"/>
              <w:jc w:val="left"/>
            </w:pPr>
            <w:r>
              <w:t xml:space="preserve">Ascend910 ·</w:t>
            </w:r>
            <w:r>
              <w:t xml:space="preserve"> </w:t>
            </w:r>
            <w:r>
              <w:rPr>
                <w:b/>
                <w:bCs/>
              </w:rPr>
              <w:t xml:space="preserve">10 blocks · 25 ep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0.7460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0.7628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0.7941</w:t>
            </w:r>
          </w:p>
        </w:tc>
        <w:tc>
          <w:tcPr>
            <w:tcW w:w="1244" w:type="dxa"/>
          </w:tcPr>
          <w:p>
            <w:pPr>
              <w:pStyle w:val="Compact"/>
              <w:jc w:val="right"/>
            </w:pPr>
            <w:r>
              <w:t xml:space="preserve">14.6 min</w:t>
            </w:r>
          </w:p>
        </w:tc>
      </w:tr>
      <w:tr>
        <w:tc>
          <w:tcPr>
            <w:tcW w:w="2424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a3_aug_e50</w:t>
            </w:r>
          </w:p>
        </w:tc>
        <w:tc>
          <w:tcPr>
            <w:tcW w:w="2946" w:type="dxa"/>
          </w:tcPr>
          <w:p>
            <w:pPr>
              <w:pStyle w:val="Compact"/>
              <w:jc w:val="left"/>
            </w:pPr>
            <w:r>
              <w:t xml:space="preserve">Ascend910 · 5 blocks · 50 ep · b32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t xml:space="preserve">0.6876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t xml:space="preserve">0.7186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t xml:space="preserve">0.7609</w:t>
            </w:r>
          </w:p>
        </w:tc>
        <w:tc>
          <w:tcPr>
            <w:tcW w:w="1244" w:type="dxa"/>
          </w:tcPr>
          <w:p>
            <w:pPr>
              <w:pStyle w:val="Compact"/>
              <w:jc w:val="right"/>
            </w:pPr>
            <w:r>
              <w:t xml:space="preserve">21.2 min</w:t>
            </w:r>
          </w:p>
        </w:tc>
      </w:tr>
    </w:tbl>
    <w:bookmarkEnd w:id="21"/>
    <w:bookmarkStart w:id="22" w:name="三条结论"/>
    <w:p>
      <w:pPr>
        <w:pStyle w:val="Heading2"/>
      </w:pPr>
      <w:r>
        <w:t xml:space="preserve">三条结论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设备无关</w:t>
      </w:r>
      <w:r>
        <w:t xml:space="preserve">：NPU 与 GPU 基线的逐视数差异 ≤ 0.0003，像素级 argmax 一致率 1.000，说明</w:t>
      </w:r>
      <w:r>
        <w:t xml:space="preserve"> </w:t>
      </w:r>
      <w:r>
        <w:rPr>
          <w:rStyle w:val="VerbatimChar"/>
        </w:rPr>
        <w:t xml:space="preserve">torch_npu</w:t>
      </w:r>
      <w:r>
        <w:t xml:space="preserve"> </w:t>
      </w:r>
      <w:r>
        <w:t xml:space="preserve">路径与 CUDA 同解。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混合精度免费</w:t>
      </w:r>
      <w:r>
        <w:t xml:space="preserve">：AMP + fp16 数据管道的指标与 fp32 一致（Δ ≤ 0.0001），耗时降到 1/4.8。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加规格要加成对的</w:t>
      </w:r>
      <w:r>
        <w:t xml:space="preserve">：单纯把 epoch 加到 50、batch 加到 32 会掉 0.008–0.014，因为 Eq. 35 的学习率日程仍按 25 epoch 下降；加深到 10 blocks 则稳定提升 0.02–0.04。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10 blocks 在第 15 轮后基本饱和</w:t>
      </w:r>
      <w:r>
        <w:t xml:space="preserve">：从 15 轮拉到 25 轮，L=9 只涨 0.0034、L=121 只涨 0.0025，耗时却从 7.9 min 变 14.6 min。要再提升应换方向（15 blocks 或重标定学习率日程），而不是继续加 epoch。</w:t>
      </w:r>
    </w:p>
    <w:bookmarkEnd w:id="22"/>
    <w:bookmarkStart w:id="23" w:name="类别层面"/>
    <w:p>
      <w:pPr>
        <w:pStyle w:val="Heading2"/>
      </w:pPr>
      <w:r>
        <w:t xml:space="preserve">类别层面</w:t>
      </w:r>
    </w:p>
    <w:tbl>
      <w:tblPr>
        <w:tblStyle w:val="Table"/>
        <w:tblW w:type="dxa" w:w="9638"/>
        <w:jc w:val="left"/>
        <w:tblLook w:firstRow="1" w:lastRow="0" w:firstColumn="0" w:lastColumn="0" w:noHBand="0" w:noVBand="0" w:val="0020"/>
      </w:tblPr>
      <w:tblGrid>
        <w:gridCol w:w="1412"/>
        <w:gridCol w:w="5086"/>
        <w:gridCol w:w="3140"/>
      </w:tblGrid>
      <w:tr>
        <w:trPr>
          <w:tblHeader w:val="on"/>
        </w:trPr>
        <w:tc>
          <w:tcPr>
            <w:tcW w:w="1412" w:type="dxa"/>
          </w:tcPr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>
            <w:tcW w:w="5086" w:type="dxa"/>
          </w:tcPr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>
            <w:tcW w:w="3140" w:type="dxa"/>
          </w:tcPr>
          <w:p>
            <w:pPr>
              <w:pStyle w:val="Compact"/>
              <w:jc w:val="right"/>
            </w:pPr>
            <w:r>
              <w:t xml:space="preserve">L=121 的 p_D</w:t>
            </w:r>
          </w:p>
        </w:tc>
      </w:tr>
      <w:tr>
        <w:tc>
          <w:tcPr>
            <w:tcW w:w="1412" w:type="dxa"/>
          </w:tcPr>
          <w:p>
            <w:pPr>
              <w:pStyle w:val="Compact"/>
              <w:jc w:val="left"/>
            </w:pPr>
            <w:r>
              <w:t xml:space="preserve">c0</w:t>
            </w:r>
          </w:p>
        </w:tc>
        <w:tc>
          <w:tcPr>
            <w:tcW w:w="5086" w:type="dxa"/>
          </w:tcPr>
          <w:p>
            <w:pPr>
              <w:pStyle w:val="Compact"/>
              <w:jc w:val="left"/>
            </w:pPr>
            <w:r>
              <w:t xml:space="preserve">无变化 / 始终相干</w:t>
            </w:r>
          </w:p>
        </w:tc>
        <w:tc>
          <w:tcPr>
            <w:tcW w:w="3140" w:type="dxa"/>
          </w:tcPr>
          <w:p>
            <w:pPr>
              <w:pStyle w:val="Compact"/>
              <w:jc w:val="right"/>
            </w:pPr>
            <w:r>
              <w:t xml:space="preserve">0.886</w:t>
            </w:r>
          </w:p>
        </w:tc>
      </w:tr>
      <w:tr>
        <w:tc>
          <w:tcPr>
            <w:tcW w:w="1412" w:type="dxa"/>
          </w:tcPr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tcPr>
            <w:tcW w:w="5086" w:type="dxa"/>
          </w:tcPr>
          <w:p>
            <w:pPr>
              <w:pStyle w:val="Compact"/>
              <w:jc w:val="left"/>
            </w:pPr>
            <w:r>
              <w:t xml:space="preserve">第 1 景后发生动态变化</w:t>
            </w:r>
          </w:p>
        </w:tc>
        <w:tc>
          <w:tcPr>
            <w:tcW w:w="3140" w:type="dxa"/>
          </w:tcPr>
          <w:p>
            <w:pPr>
              <w:pStyle w:val="Compact"/>
              <w:jc w:val="right"/>
            </w:pPr>
            <w:r>
              <w:t xml:space="preserve">0.574</w:t>
            </w:r>
          </w:p>
        </w:tc>
      </w:tr>
      <w:tr>
        <w:tc>
          <w:tcPr>
            <w:tcW w:w="1412" w:type="dxa"/>
          </w:tcPr>
          <w:p>
            <w:pPr>
              <w:pStyle w:val="Compact"/>
              <w:jc w:val="left"/>
            </w:pPr>
            <w:r>
              <w:t xml:space="preserve">c2</w:t>
            </w:r>
          </w:p>
        </w:tc>
        <w:tc>
          <w:tcPr>
            <w:tcW w:w="5086" w:type="dxa"/>
          </w:tcPr>
          <w:p>
            <w:pPr>
              <w:pStyle w:val="Compact"/>
              <w:jc w:val="left"/>
            </w:pPr>
            <w:r>
              <w:t xml:space="preserve">第 2 景后发生动态变化</w:t>
            </w:r>
          </w:p>
        </w:tc>
        <w:tc>
          <w:tcPr>
            <w:tcW w:w="3140" w:type="dxa"/>
          </w:tcPr>
          <w:p>
            <w:pPr>
              <w:pStyle w:val="Compact"/>
              <w:jc w:val="right"/>
            </w:pPr>
            <w:r>
              <w:t xml:space="preserve">0.696</w:t>
            </w:r>
          </w:p>
        </w:tc>
      </w:tr>
      <w:tr>
        <w:tc>
          <w:tcPr>
            <w:tcW w:w="1412" w:type="dxa"/>
          </w:tcPr>
          <w:p>
            <w:pPr>
              <w:pStyle w:val="Compact"/>
              <w:jc w:val="left"/>
            </w:pPr>
            <w:r>
              <w:t xml:space="preserve">c3</w:t>
            </w:r>
          </w:p>
        </w:tc>
        <w:tc>
          <w:tcPr>
            <w:tcW w:w="5086" w:type="dxa"/>
          </w:tcPr>
          <w:p>
            <w:pPr>
              <w:pStyle w:val="Compact"/>
              <w:jc w:val="left"/>
            </w:pPr>
            <w:r>
              <w:t xml:space="preserve">第 3 景后 + ADCS</w:t>
            </w:r>
          </w:p>
        </w:tc>
        <w:tc>
          <w:tcPr>
            <w:tcW w:w="3140" w:type="dxa"/>
          </w:tcPr>
          <w:p>
            <w:pPr>
              <w:pStyle w:val="Compact"/>
              <w:jc w:val="right"/>
            </w:pPr>
            <w:r>
              <w:t xml:space="preserve">0.760</w:t>
            </w:r>
          </w:p>
        </w:tc>
      </w:tr>
    </w:tbl>
    <w:p>
      <w:pPr>
        <w:pStyle w:val="BodyText"/>
      </w:pPr>
      <w:r>
        <w:t xml:space="preserve">c1 明显偏低：变化发生在第一个时间间隔内，可用基线只有一次，是该任务的物理下界，不是训练 bug。</w:t>
      </w:r>
    </w:p>
    <w:bookmarkEnd w:id="23"/>
    <w:bookmarkStart w:id="24" w:name="复现命令"/>
    <w:p>
      <w:pPr>
        <w:pStyle w:val="Heading2"/>
      </w:pPr>
      <w:r>
        <w:t xml:space="preserve">复现命令</w:t>
      </w:r>
    </w:p>
    <w:p>
      <w:pPr>
        <w:pStyle w:val="SourceCode"/>
      </w:pPr>
      <w:r>
        <w:rPr>
          <w:rStyle w:val="BuiltInTok"/>
        </w:rPr>
        <w:t xml:space="preserve">source</w:t>
      </w:r>
      <w:r>
        <w:rPr>
          <w:rStyle w:val="NormalTok"/>
        </w:rPr>
        <w:t xml:space="preserve"> /usr/local/Ascend/ascend-toolkit/set_env.sh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ASCEND_RT_VISIBLE_DEVICES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</w:t>
      </w:r>
      <w:r>
        <w:rPr>
          <w:rStyle w:val="VariableTok"/>
        </w:rPr>
        <w:t xml:space="preserve">OMP_NUM_THREADS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daninet.tools.parity_check </w:t>
      </w:r>
      <w:r>
        <w:rPr>
          <w:rStyle w:val="AttributeTok"/>
        </w:rPr>
        <w:t xml:space="preserve">--device</w:t>
      </w:r>
      <w:r>
        <w:rPr>
          <w:rStyle w:val="NormalTok"/>
        </w:rPr>
        <w:t xml:space="preserve"> npu </w:t>
      </w:r>
      <w:r>
        <w:rPr>
          <w:rStyle w:val="AttributeTok"/>
        </w:rPr>
        <w:t xml:space="preserve">--batch</w:t>
      </w:r>
      <w:r>
        <w:rPr>
          <w:rStyle w:val="NormalTok"/>
        </w:rPr>
        <w:t xml:space="preserve"> 8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daninet.net.train </w:t>
      </w:r>
      <w:r>
        <w:rPr>
          <w:rStyle w:val="AttributeTok"/>
        </w:rPr>
        <w:t xml:space="preserve">--mode</w:t>
      </w:r>
      <w:r>
        <w:rPr>
          <w:rStyle w:val="NormalTok"/>
        </w:rPr>
        <w:t xml:space="preserve"> augmented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--patches</w:t>
      </w:r>
      <w:r>
        <w:rPr>
          <w:rStyle w:val="NormalTok"/>
        </w:rPr>
        <w:t xml:space="preserve"> 10000 </w:t>
      </w:r>
      <w:r>
        <w:rPr>
          <w:rStyle w:val="AttributeTok"/>
        </w:rPr>
        <w:t xml:space="preserve">--val-patches</w:t>
      </w:r>
      <w:r>
        <w:rPr>
          <w:rStyle w:val="NormalTok"/>
        </w:rPr>
        <w:t xml:space="preserve"> 4000 </w:t>
      </w:r>
      <w:r>
        <w:rPr>
          <w:rStyle w:val="AttributeTok"/>
        </w:rPr>
        <w:t xml:space="preserve">--test-patches</w:t>
      </w:r>
      <w:r>
        <w:rPr>
          <w:rStyle w:val="NormalTok"/>
        </w:rPr>
        <w:t xml:space="preserve"> 4000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--epochs</w:t>
      </w:r>
      <w:r>
        <w:rPr>
          <w:rStyle w:val="NormalTok"/>
        </w:rPr>
        <w:t xml:space="preserve"> 15 </w:t>
      </w:r>
      <w:r>
        <w:rPr>
          <w:rStyle w:val="AttributeTok"/>
        </w:rPr>
        <w:t xml:space="preserve">--batch</w:t>
      </w:r>
      <w:r>
        <w:rPr>
          <w:rStyle w:val="NormalTok"/>
        </w:rPr>
        <w:t xml:space="preserve"> 16 </w:t>
      </w:r>
      <w:r>
        <w:rPr>
          <w:rStyle w:val="AttributeTok"/>
        </w:rPr>
        <w:t xml:space="preserve">--blocks</w:t>
      </w:r>
      <w:r>
        <w:rPr>
          <w:rStyle w:val="NormalTok"/>
        </w:rPr>
        <w:t xml:space="preserve"> 10 </w:t>
      </w:r>
      <w:r>
        <w:rPr>
          <w:rStyle w:val="AttributeTok"/>
        </w:rPr>
        <w:t xml:space="preserve">--workers</w:t>
      </w:r>
      <w:r>
        <w:rPr>
          <w:rStyle w:val="NormalTok"/>
        </w:rPr>
        <w:t xml:space="preserve"> 16 </w:t>
      </w:r>
      <w:r>
        <w:rPr>
          <w:rStyle w:val="AttributeTok"/>
        </w:rPr>
        <w:t xml:space="preserve">--prefetch</w:t>
      </w:r>
      <w:r>
        <w:rPr>
          <w:rStyle w:val="NormalTok"/>
        </w:rPr>
        <w:t xml:space="preserve"> 32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--transport</w:t>
      </w:r>
      <w:r>
        <w:rPr>
          <w:rStyle w:val="NormalTok"/>
        </w:rPr>
        <w:t xml:space="preserve"> fp16 </w:t>
      </w:r>
      <w:r>
        <w:rPr>
          <w:rStyle w:val="AttributeTok"/>
        </w:rPr>
        <w:t xml:space="preserve">--amp</w:t>
      </w:r>
      <w:r>
        <w:rPr>
          <w:rStyle w:val="NormalTok"/>
        </w:rPr>
        <w:t xml:space="preserve"> auto </w:t>
      </w:r>
      <w:r>
        <w:rPr>
          <w:rStyle w:val="AttributeTok"/>
        </w:rPr>
        <w:t xml:space="preserve">--device</w:t>
      </w:r>
      <w:r>
        <w:rPr>
          <w:rStyle w:val="NormalTok"/>
        </w:rPr>
        <w:t xml:space="preserve"> npu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a3_amp_b16_b10_e15</w:t>
      </w:r>
    </w:p>
    <w:bookmarkEnd w:id="24"/>
    <w:sectPr>
      <w:footerReference w:type="default" r:id="rId9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>
  <w:p>
    <w:pPr>
      <w:jc w:val="center"/>
      <w:spacing w:before="0" w:after="0"/>
    </w:pPr>
    <w:r>
      <w:rPr>
        <w:color w:val="9A9A9A"/>
        <w:sz w:val="16"/>
      </w:rPr>
      <w:t xml:space="preserve">InSAR_affair  ·  </w:t>
    </w:r>
    <w:fldSimple w:instr=" PAGE ">
      <w:r>
        <w:rPr>
          <w:color w:val="9A9A9A"/>
          <w:sz w:val="16"/>
        </w:rP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cs="Calibri" w:eastAsia="微软雅黑" w:hAnsi="Calibr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next w:val="Normal"/>
    <w:qFormat/>
    <w:pPr>
      <w:spacing w:after="140" w:before="0" w:line="300" w:lineRule="auto"/>
    </w:pPr>
    <w:rPr>
      <w:rFonts w:ascii="Calibri" w:cs="Calibri" w:eastAsia="微软雅黑" w:hAnsi="Calibri"/>
      <w:color w:val="1B2A33"/>
      <w:sz w:val="21"/>
      <w:szCs w:val="21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Normal"/>
    <w:qFormat/>
    <w:pPr>
      <w:keepNext/>
      <w:spacing w:after="80" w:before="0"/>
    </w:pPr>
    <w:rPr>
      <w:rFonts w:ascii="Calibri" w:cs="Calibri" w:eastAsia="微软雅黑" w:hAnsi="Calibri"/>
      <w:b/>
      <w:bCs/>
      <w:color w:val="1B2A33"/>
      <w:sz w:val="40"/>
      <w:szCs w:val="40"/>
    </w:rPr>
  </w:style>
  <w:style w:styleId="Subtitle" w:type="paragraph">
    <w:name w:val="Subtitle"/>
    <w:basedOn w:val="Normal"/>
    <w:next w:val="Normal"/>
    <w:qFormat/>
    <w:pPr>
      <w:spacing w:after="200" w:before="0"/>
      <w:pBdr>
        <w:bottom w:color="D3CCBB" w:space="6" w:sz="6" w:val="single"/>
      </w:pBdr>
    </w:pPr>
    <w:rPr>
      <w:rFonts w:ascii="Calibri" w:cs="Calibri" w:eastAsia="微软雅黑" w:hAnsi="Calibri"/>
      <w:color w:val="6E6A60"/>
      <w:sz w:val="20"/>
      <w:szCs w:val="2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basedOn w:val="Normal"/>
    <w:next w:val="Normal"/>
    <w:qFormat/>
    <w:pPr>
      <w:spacing w:after="320" w:before="0"/>
    </w:pPr>
    <w:rPr>
      <w:rFonts w:ascii="Calibri" w:cs="Calibri" w:eastAsia="微软雅黑" w:hAnsi="Calibri"/>
      <w:color w:val="6E6A60"/>
      <w:sz w:val="18"/>
      <w:szCs w:val="18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Normal"/>
    <w:qFormat/>
    <w:pPr>
      <w:keepNext/>
      <w:spacing w:after="140" w:before="440"/>
      <w:pBdr>
        <w:bottom w:color="D3CCBB" w:space="6" w:sz="6" w:val="single"/>
      </w:pBdr>
    </w:pPr>
    <w:rPr>
      <w:rFonts w:ascii="Calibri" w:cs="Calibri" w:eastAsia="微软雅黑" w:hAnsi="Calibri"/>
      <w:b/>
      <w:bCs/>
      <w:color w:val="1B2A33"/>
      <w:sz w:val="30"/>
      <w:szCs w:val="30"/>
    </w:rPr>
  </w:style>
  <w:style w:styleId="Heading2" w:type="paragraph">
    <w:name w:val="heading 2"/>
    <w:basedOn w:val="Normal"/>
    <w:next w:val="Normal"/>
    <w:qFormat/>
    <w:pPr>
      <w:keepNext/>
      <w:spacing w:after="100" w:before="320"/>
    </w:pPr>
    <w:rPr>
      <w:rFonts w:ascii="Calibri" w:cs="Calibri" w:eastAsia="微软雅黑" w:hAnsi="Calibri"/>
      <w:b/>
      <w:bCs/>
      <w:color w:val="1B2A33"/>
      <w:sz w:val="24"/>
      <w:szCs w:val="24"/>
    </w:rPr>
  </w:style>
  <w:style w:styleId="Heading3" w:type="paragraph">
    <w:name w:val="heading 3"/>
    <w:basedOn w:val="Normal"/>
    <w:next w:val="Normal"/>
    <w:qFormat/>
    <w:pPr>
      <w:keepNext/>
      <w:spacing w:after="80" w:before="260"/>
    </w:pPr>
    <w:rPr>
      <w:rFonts w:ascii="Calibri" w:cs="Calibri" w:eastAsia="微软雅黑" w:hAnsi="Calibri"/>
      <w:b/>
      <w:bCs/>
      <w:color w:val="333333"/>
      <w:sz w:val="21"/>
      <w:szCs w:val="21"/>
    </w:rPr>
  </w:style>
  <w:style w:styleId="Heading4" w:type="paragraph">
    <w:name w:val="heading 4"/>
    <w:basedOn w:val="Normal"/>
    <w:next w:val="Normal"/>
    <w:qFormat/>
    <w:pPr>
      <w:keepNext/>
      <w:spacing w:after="60" w:before="220"/>
    </w:pPr>
    <w:rPr>
      <w:rFonts w:ascii="Calibri" w:cs="Calibri" w:eastAsia="微软雅黑" w:hAnsi="Calibri"/>
      <w:b/>
      <w:bCs/>
      <w:color w:val="3F3F3F"/>
      <w:sz w:val="20"/>
      <w:szCs w:val="20"/>
    </w:rPr>
  </w:style>
  <w:style w:styleId="Heading5" w:type="paragraph">
    <w:name w:val="heading 5"/>
    <w:basedOn w:val="Normal"/>
    <w:next w:val="Normal"/>
    <w:qFormat/>
    <w:pPr>
      <w:keepNext/>
      <w:spacing w:after="60" w:before="220"/>
    </w:pPr>
    <w:rPr>
      <w:rFonts w:ascii="Calibri" w:cs="Calibri" w:eastAsia="微软雅黑" w:hAnsi="Calibri"/>
      <w:b/>
      <w:bCs/>
      <w:color w:val="3F3F3F"/>
      <w:sz w:val="20"/>
      <w:szCs w:val="20"/>
    </w:rPr>
  </w:style>
  <w:style w:styleId="Heading6" w:type="paragraph">
    <w:name w:val="heading 6"/>
    <w:basedOn w:val="Normal"/>
    <w:next w:val="Normal"/>
    <w:qFormat/>
    <w:pPr>
      <w:keepNext/>
      <w:spacing w:after="60" w:before="220"/>
    </w:pPr>
    <w:rPr>
      <w:rFonts w:ascii="Calibri" w:cs="Calibri" w:eastAsia="微软雅黑" w:hAnsi="Calibri"/>
      <w:b/>
      <w:bCs/>
      <w:color w:val="3F3F3F"/>
      <w:sz w:val="20"/>
      <w:szCs w:val="20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Normal"/>
    <w:qFormat/>
    <w:pPr>
      <w:spacing w:after="140" w:before="120" w:line="290" w:lineRule="auto"/>
      <w:pBdr>
        <w:left w:color="9CC6BE" w:space="10" w:sz="18" w:val="single"/>
      </w:pBdr>
      <w:ind w:left="240" w:right="160"/>
      <w:shd w:color="auto" w:fill="F7F4EC" w:val="clear"/>
    </w:pPr>
    <w:rPr>
      <w:rFonts w:ascii="Calibri" w:cs="Calibri" w:eastAsia="微软雅黑" w:hAnsi="Calibri"/>
      <w:color w:val="333333"/>
      <w:sz w:val="21"/>
      <w:szCs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next w:val="Normal"/>
    <w:qFormat/>
    <w:pPr>
      <w:spacing w:after="200" w:before="60"/>
    </w:pPr>
    <w:rPr>
      <w:rFonts w:ascii="Calibri" w:cs="Calibri" w:eastAsia="微软雅黑" w:hAnsi="Calibri"/>
      <w:i/>
      <w:iCs/>
      <w:color w:val="6E6A60"/>
      <w:sz w:val="18"/>
      <w:szCs w:val="18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styleId="Author" w:type="paragraph">
    <w:name w:val="Author"/>
    <w:basedOn w:val="Normal"/>
    <w:next w:val="Normal"/>
    <w:qFormat/>
    <w:pPr>
      <w:spacing w:after="60" w:before="0"/>
    </w:pPr>
    <w:rPr>
      <w:rFonts w:ascii="Calibri" w:cs="Calibri" w:eastAsia="微软雅黑" w:hAnsi="Calibri"/>
      <w:color w:val="6E6A60"/>
      <w:sz w:val="18"/>
      <w:szCs w:val="18"/>
    </w:rPr>
  </w:style>
  <w:style w:styleId="FirstParagraph" w:type="paragraph">
    <w:name w:val="First Paragraph"/>
    <w:basedOn w:val="Normal"/>
    <w:next w:val="Normal"/>
    <w:qFormat/>
    <w:pPr>
      <w:spacing w:after="140" w:before="0" w:line="300" w:lineRule="auto"/>
    </w:pPr>
    <w:rPr>
      <w:rFonts w:ascii="Calibri" w:cs="Calibri" w:eastAsia="微软雅黑" w:hAnsi="Calibri"/>
      <w:color w:val="1B2A33"/>
      <w:sz w:val="21"/>
      <w:szCs w:val="21"/>
    </w:rPr>
  </w:style>
  <w:style w:styleId="Compact" w:type="paragraph">
    <w:name w:val="Compact"/>
    <w:basedOn w:val="Normal"/>
    <w:next w:val="Normal"/>
    <w:qFormat/>
    <w:pPr>
      <w:spacing w:after="20" w:before="0" w:line="290" w:lineRule="auto"/>
    </w:pPr>
    <w:rPr>
      <w:rFonts w:ascii="Calibri" w:cs="Calibri" w:eastAsia="微软雅黑" w:hAnsi="Calibri"/>
      <w:color w:val="1B2A33"/>
      <w:sz w:val="21"/>
      <w:szCs w:val="21"/>
    </w:rPr>
  </w:style>
  <w:style w:styleId="Caption" w:type="paragraph">
    <w:name w:val="caption"/>
    <w:basedOn w:val="Normal"/>
    <w:next w:val="Normal"/>
    <w:qFormat/>
    <w:pPr>
      <w:spacing w:after="200" w:before="60"/>
    </w:pPr>
    <w:rPr>
      <w:rFonts w:ascii="Calibri" w:cs="Calibri" w:eastAsia="微软雅黑" w:hAnsi="Calibri"/>
      <w:i/>
      <w:iCs/>
      <w:color w:val="6E6A60"/>
      <w:sz w:val="18"/>
      <w:szCs w:val="18"/>
    </w:rPr>
  </w:style>
  <w:style w:styleId="Caption" w:type="paragraph">
    <w:name w:val="caption"/>
    <w:basedOn w:val="Normal"/>
    <w:next w:val="Normal"/>
    <w:qFormat/>
    <w:pPr>
      <w:spacing w:after="200" w:before="60"/>
    </w:pPr>
    <w:rPr>
      <w:rFonts w:ascii="Calibri" w:cs="Calibri" w:eastAsia="微软雅黑" w:hAnsi="Calibri"/>
      <w:i/>
      <w:iCs/>
      <w:color w:val="6E6A60"/>
      <w:sz w:val="18"/>
      <w:szCs w:val="18"/>
    </w:rPr>
  </w:style>
  <w:style w:styleId="SourceCode" w:type="paragraph">
    <w:name w:val="Source Code"/>
    <w:basedOn w:val="Normal"/>
    <w:qFormat/>
    <w:pPr>
      <w:spacing w:after="80" w:before="80" w:line="260" w:lineRule="auto"/>
      <w:shd w:color="auto" w:fill="F7F4EC" w:val="clear"/>
      <w:pBdr>
        <w:left w:color="9CC6BE" w:space="8" w:sz="18" w:val="single"/>
      </w:pBdr>
      <w:ind w:left="120" w:right="120"/>
    </w:pPr>
    <w:rPr>
      <w:rFonts w:ascii="Consolas" w:cs="Consolas" w:eastAsia="Consolas" w:hAnsi="Consolas"/>
      <w:color w:val="242424"/>
      <w:sz w:val="18"/>
      <w:szCs w:val="18"/>
    </w:rPr>
  </w:style>
  <w:style w:styleId="VerbatimChar" w:type="character">
    <w:name w:val="Verbatim Char"/>
    <w:basedOn w:val="DefaultParagraphFont"/>
    <w:rPr>
      <w:rFonts w:ascii="Consolas" w:cs="Consolas" w:eastAsia="Consolas" w:hAnsi="Consolas"/>
      <w:color w:val="242424"/>
      <w:sz w:val="19"/>
      <w:szCs w:val="19"/>
    </w:rPr>
  </w:style>
  <w:style w:styleId="Table" w:type="table">
    <w:name w:val="Table"/>
    <w:qFormat/>
    <w:tblPr>
      <w:tblBorders>
        <w:top w:color="D3CCBB" w:sz="8" w:val="single"/>
        <w:bottom w:color="D3CCBB" w:sz="8" w:val="single"/>
        <w:insideH w:color="E7E2D6" w:sz="4" w:val="single"/>
        <w:left w:sz="0" w:val="none"/>
        <w:right w:sz="0" w:val="none"/>
        <w:insideV w:sz="0" w:val="none"/>
      </w:tblBorders>
      <w:tblCellMar>
        <w:top w:type="dxa" w:w="90"/>
        <w:bottom w:type="dxa" w:w="90"/>
        <w:left w:type="dxa" w:w="120"/>
        <w:right w:type="dxa" w:w="120"/>
      </w:tblCellMar>
    </w:tblPr>
    <w:tblStylePr w:type="firstRow">
      <w:rPr>
        <w:rFonts w:ascii="Calibri" w:cs="Calibri" w:eastAsia="微软雅黑" w:hAnsi="Calibri"/>
        <w:b/>
        <w:bCs/>
        <w:color w:val="1B2A33"/>
        <w:sz w:val="19"/>
        <w:szCs w:val="19"/>
      </w:rPr>
      <w:tcPr>
        <w:shd w:color="auto" w:fill="F2EEE3" w:val="clear"/>
      </w:tcPr>
    </w:tblStyle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数据分析</dc:title>
  <dc:creator/>
  <cp:keywords/>
  <dcterms:created xsi:type="dcterms:W3CDTF">2026-10-19T07:48:59Z</dcterms:created>
  <dcterms:modified xsi:type="dcterms:W3CDTF">2026-10-19T07:48:59Z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2026-10-19</vt:lpwstr>
  </property>
  <property fmtid="{D5CDD505-2E9C-101B-9397-08002B2CF9AE}" pid="3" name="subtitle">
    <vt:lpwstr>实验设置、对照结果与三条结论</vt:lpwstr>
  </property>
</Properties>
</file>