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数据分析</w:t>
      </w:r>
    </w:p>
    <w:p>
      <w:pPr>
        <w:pStyle w:val="Subtitle"/>
      </w:pPr>
      <w:r>
        <w:t xml:space="preserve">实验设置、对照结果与三条结论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本页汇总 2026-10-19 在单卡 Ascend910_9382 上的复现结果。所有数值取自</w:t>
      </w:r>
      <w:r>
        <w:t xml:space="preserve"> </w:t>
      </w:r>
      <w:r>
        <w:rPr>
          <w:rStyle w:val="VerbatimChar"/>
        </w:rPr>
        <w:t xml:space="preserve">daninet/runs/&lt;run&gt;/metrics.json</w:t>
      </w:r>
      <w:r>
        <w:t xml:space="preserve">，可用页面底部命令复算。</w:t>
      </w:r>
    </w:p>
    <w:bookmarkStart w:id="20" w:name="实验设置"/>
    <w:p>
      <w:pPr>
        <w:pStyle w:val="Heading2"/>
      </w:pPr>
      <w:r>
        <w:t xml:space="preserve">实验设置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599"/>
        <w:gridCol w:w="7039"/>
      </w:tblGrid>
      <w:tr>
        <w:trPr>
          <w:tblHeader w:val="on"/>
        </w:trP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4 个幅度 + 6 个相干，</w:t>
            </w:r>
            <w:r>
              <w:rPr>
                <w:rStyle w:val="VerbatimChar"/>
              </w:rPr>
              <w:t xml:space="preserve">10 × 128 × 128</w:t>
            </w:r>
          </w:p>
        </w:tc>
      </w:tr>
      <w:t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全卷积、无池化；5 blocks = 759,124 参数；10 blocks = 1,498,324</w:t>
            </w:r>
          </w:p>
        </w:tc>
      </w:tr>
      <w:t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训练视数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9 / 16 / 36 / 121（augmented 模式混合采样）</w:t>
            </w:r>
          </w:p>
        </w:tc>
      </w:tr>
      <w:t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测试视数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9 / 16 / 25 / 36 / 49 / 121，其中</w:t>
            </w:r>
            <w:r>
              <w:t xml:space="preserve"> </w:t>
            </w:r>
            <w:r>
              <w:rPr>
                <w:b/>
                <w:bCs/>
              </w:rPr>
              <w:t xml:space="preserve">25、49 未参与训练</w:t>
            </w:r>
          </w:p>
        </w:tc>
      </w:tr>
      <w:t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损失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Categorical Cross-Entropy（Eq. 34），Adam，学习率按 Eq. 35 三段下降</w:t>
            </w:r>
          </w:p>
        </w:tc>
      </w:tr>
      <w:tr>
        <w:tc>
          <w:tcPr>
            <w:tcW w:w="2599" w:type="dxa"/>
          </w:tcPr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tcPr>
            <w:tcW w:w="7039" w:type="dxa"/>
          </w:tcPr>
          <w:p>
            <w:pPr>
              <w:pStyle w:val="Compact"/>
              <w:jc w:val="left"/>
            </w:pPr>
            <w:r>
              <w:t xml:space="preserve">在线合成，不落盘；每 batch 固定 seed，保证可复现</w:t>
            </w:r>
          </w:p>
        </w:tc>
      </w:tr>
    </w:tbl>
    <w:bookmarkEnd w:id="20"/>
    <w:bookmarkStart w:id="21" w:name="结果对比"/>
    <w:p>
      <w:pPr>
        <w:pStyle w:val="Heading2"/>
      </w:pPr>
      <w:r>
        <w:t xml:space="preserve">结果对比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424"/>
        <w:gridCol w:w="2946"/>
        <w:gridCol w:w="1008"/>
        <w:gridCol w:w="1008"/>
        <w:gridCol w:w="1008"/>
        <w:gridCol w:w="1244"/>
      </w:tblGrid>
      <w:tr>
        <w:trPr>
          <w:tblHeader w:val="on"/>
        </w:trPr>
        <w:tc>
          <w:tcPr>
            <w:tcW w:w="2424" w:type="dxa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设备 / 配置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L=9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L=25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L=121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t xml:space="preserve">训练耗时</w:t>
            </w:r>
          </w:p>
        </w:tc>
      </w:tr>
      <w:tr>
        <w:tc>
          <w:tcPr>
            <w:tcW w:w="242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final_augmented_v2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RTX 4060 · 5 blocks · fp32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0.7020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0.7292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0.7689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t xml:space="preserve">28.1 min</w:t>
            </w:r>
          </w:p>
        </w:tc>
      </w:tr>
      <w:tr>
        <w:tc>
          <w:tcPr>
            <w:tcW w:w="242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a3_augmented_e15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Ascend910 · 5 blocks · fp32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0.7020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0.7291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0.7689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t xml:space="preserve">8.9 min</w:t>
            </w:r>
          </w:p>
        </w:tc>
      </w:tr>
      <w:tr>
        <w:tc>
          <w:tcPr>
            <w:tcW w:w="242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a3_amp_b16_e15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Ascend910 · 5 blocks ·</w:t>
            </w:r>
            <w:r>
              <w:t xml:space="preserve"> </w:t>
            </w:r>
            <w:r>
              <w:rPr>
                <w:b/>
                <w:bCs/>
              </w:rPr>
              <w:t xml:space="preserve">AMP+fp16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0.7021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0.7291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0.7689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 min</w:t>
            </w:r>
          </w:p>
        </w:tc>
      </w:tr>
      <w:tr>
        <w:tc>
          <w:tcPr>
            <w:tcW w:w="242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a3_amp_b16_b10_e15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Ascend910 ·</w:t>
            </w:r>
            <w:r>
              <w:t xml:space="preserve"> </w:t>
            </w:r>
            <w:r>
              <w:rPr>
                <w:b/>
                <w:bCs/>
              </w:rPr>
              <w:t xml:space="preserve">10 blocks</w:t>
            </w:r>
            <w:r>
              <w:t xml:space="preserve"> </w:t>
            </w:r>
            <w:r>
              <w:t xml:space="preserve">· AMP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0.7426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0.7604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0.7916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t xml:space="preserve">7.9 min</w:t>
            </w:r>
          </w:p>
        </w:tc>
      </w:tr>
      <w:tr>
        <w:tc>
          <w:tcPr>
            <w:tcW w:w="242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a3_b10_e25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Ascend910 ·</w:t>
            </w:r>
            <w:r>
              <w:t xml:space="preserve"> </w:t>
            </w:r>
            <w:r>
              <w:rPr>
                <w:b/>
                <w:bCs/>
              </w:rPr>
              <w:t xml:space="preserve">10 blocks · 25 ep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0.7460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0.7628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0.7941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t xml:space="preserve">14.6 min</w:t>
            </w:r>
          </w:p>
        </w:tc>
      </w:tr>
      <w:tr>
        <w:tc>
          <w:tcPr>
            <w:tcW w:w="242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a3_aug_e50</w:t>
            </w:r>
          </w:p>
        </w:tc>
        <w:tc>
          <w:tcPr>
            <w:tcW w:w="2946" w:type="dxa"/>
          </w:tcPr>
          <w:p>
            <w:pPr>
              <w:pStyle w:val="Compact"/>
              <w:jc w:val="left"/>
            </w:pPr>
            <w:r>
              <w:t xml:space="preserve">Ascend910 · 5 blocks · 50 ep · b32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0.6876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0.7186</w:t>
            </w:r>
          </w:p>
        </w:tc>
        <w:tc>
          <w:tcPr>
            <w:tcW w:w="1008" w:type="dxa"/>
          </w:tcPr>
          <w:p>
            <w:pPr>
              <w:pStyle w:val="Compact"/>
              <w:jc w:val="right"/>
            </w:pPr>
            <w:r>
              <w:t xml:space="preserve">0.7609</w:t>
            </w:r>
          </w:p>
        </w:tc>
        <w:tc>
          <w:tcPr>
            <w:tcW w:w="1244" w:type="dxa"/>
          </w:tcPr>
          <w:p>
            <w:pPr>
              <w:pStyle w:val="Compact"/>
              <w:jc w:val="right"/>
            </w:pPr>
            <w:r>
              <w:t xml:space="preserve">21.2 min</w:t>
            </w:r>
          </w:p>
        </w:tc>
      </w:tr>
    </w:tbl>
    <w:bookmarkEnd w:id="21"/>
    <w:bookmarkStart w:id="22" w:name="三条结论"/>
    <w:p>
      <w:pPr>
        <w:pStyle w:val="Heading2"/>
      </w:pPr>
      <w:r>
        <w:t xml:space="preserve">三条结论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设备无关</w:t>
      </w:r>
      <w:r>
        <w:t xml:space="preserve">：NPU 与 GPU 基线的逐视数差异 ≤ 0.0003，像素级 argmax 一致率 1.000，说明</w:t>
      </w:r>
      <w:r>
        <w:t xml:space="preserve"> </w:t>
      </w:r>
      <w:r>
        <w:rPr>
          <w:rStyle w:val="VerbatimChar"/>
        </w:rPr>
        <w:t xml:space="preserve">torch_npu</w:t>
      </w:r>
      <w:r>
        <w:t xml:space="preserve"> </w:t>
      </w:r>
      <w:r>
        <w:t xml:space="preserve">路径与 CUDA 同解。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混合精度免费</w:t>
      </w:r>
      <w:r>
        <w:t xml:space="preserve">：AMP + fp16 数据管道的指标与 fp32 一致（Δ ≤ 0.0001），耗时降到 1/4.8。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加规格要加成对的</w:t>
      </w:r>
      <w:r>
        <w:t xml:space="preserve">：单纯把 epoch 加到 50、batch 加到 32 会掉 0.008–0.014，因为 Eq. 35 的学习率日程仍按 25 epoch 下降；加深到 10 blocks 则稳定提升 0.02–0.04。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blocks 在第 15 轮后基本饱和</w:t>
      </w:r>
      <w:r>
        <w:t xml:space="preserve">：从 15 轮拉到 25 轮，L=9 只涨 0.0034、L=121 只涨 0.0025，耗时却从 7.9 min 变 14.6 min。要再提升应换方向（15 blocks 或重标定学习率日程），而不是继续加 epoch。</w:t>
      </w:r>
    </w:p>
    <w:bookmarkEnd w:id="22"/>
    <w:bookmarkStart w:id="23" w:name="类别层面"/>
    <w:p>
      <w:pPr>
        <w:pStyle w:val="Heading2"/>
      </w:pPr>
      <w:r>
        <w:t xml:space="preserve">类别层面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1412"/>
        <w:gridCol w:w="5086"/>
        <w:gridCol w:w="3140"/>
      </w:tblGrid>
      <w:tr>
        <w:trPr>
          <w:tblHeader w:val="on"/>
        </w:trPr>
        <w:tc>
          <w:tcPr>
            <w:tcW w:w="1412" w:type="dxa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W w:w="5086" w:type="dxa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W w:w="3140" w:type="dxa"/>
          </w:tcPr>
          <w:p>
            <w:pPr>
              <w:pStyle w:val="Compact"/>
              <w:jc w:val="right"/>
            </w:pPr>
            <w:r>
              <w:t xml:space="preserve">L=121 的 p_D</w:t>
            </w:r>
          </w:p>
        </w:tc>
      </w:tr>
      <w:tr>
        <w:tc>
          <w:tcPr>
            <w:tcW w:w="1412" w:type="dxa"/>
          </w:tcPr>
          <w:p>
            <w:pPr>
              <w:pStyle w:val="Compact"/>
              <w:jc w:val="left"/>
            </w:pPr>
            <w:r>
              <w:t xml:space="preserve">c0</w:t>
            </w:r>
          </w:p>
        </w:tc>
        <w:tc>
          <w:tcPr>
            <w:tcW w:w="5086" w:type="dxa"/>
          </w:tcPr>
          <w:p>
            <w:pPr>
              <w:pStyle w:val="Compact"/>
              <w:jc w:val="left"/>
            </w:pPr>
            <w:r>
              <w:t xml:space="preserve">无变化 / 始终相干</w:t>
            </w:r>
          </w:p>
        </w:tc>
        <w:tc>
          <w:tcPr>
            <w:tcW w:w="3140" w:type="dxa"/>
          </w:tcPr>
          <w:p>
            <w:pPr>
              <w:pStyle w:val="Compact"/>
              <w:jc w:val="right"/>
            </w:pPr>
            <w:r>
              <w:t xml:space="preserve">0.886</w:t>
            </w:r>
          </w:p>
        </w:tc>
      </w:tr>
      <w:tr>
        <w:tc>
          <w:tcPr>
            <w:tcW w:w="1412" w:type="dxa"/>
          </w:tcPr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>
            <w:tcW w:w="5086" w:type="dxa"/>
          </w:tcPr>
          <w:p>
            <w:pPr>
              <w:pStyle w:val="Compact"/>
              <w:jc w:val="left"/>
            </w:pPr>
            <w:r>
              <w:t xml:space="preserve">第 1 景后发生动态变化</w:t>
            </w:r>
          </w:p>
        </w:tc>
        <w:tc>
          <w:tcPr>
            <w:tcW w:w="3140" w:type="dxa"/>
          </w:tcPr>
          <w:p>
            <w:pPr>
              <w:pStyle w:val="Compact"/>
              <w:jc w:val="right"/>
            </w:pPr>
            <w:r>
              <w:t xml:space="preserve">0.574</w:t>
            </w:r>
          </w:p>
        </w:tc>
      </w:tr>
      <w:tr>
        <w:tc>
          <w:tcPr>
            <w:tcW w:w="1412" w:type="dxa"/>
          </w:tcPr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>
            <w:tcW w:w="5086" w:type="dxa"/>
          </w:tcPr>
          <w:p>
            <w:pPr>
              <w:pStyle w:val="Compact"/>
              <w:jc w:val="left"/>
            </w:pPr>
            <w:r>
              <w:t xml:space="preserve">第 2 景后发生动态变化</w:t>
            </w:r>
          </w:p>
        </w:tc>
        <w:tc>
          <w:tcPr>
            <w:tcW w:w="3140" w:type="dxa"/>
          </w:tcPr>
          <w:p>
            <w:pPr>
              <w:pStyle w:val="Compact"/>
              <w:jc w:val="right"/>
            </w:pPr>
            <w:r>
              <w:t xml:space="preserve">0.696</w:t>
            </w:r>
          </w:p>
        </w:tc>
      </w:tr>
      <w:tr>
        <w:tc>
          <w:tcPr>
            <w:tcW w:w="1412" w:type="dxa"/>
          </w:tcPr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>
            <w:tcW w:w="5086" w:type="dxa"/>
          </w:tcPr>
          <w:p>
            <w:pPr>
              <w:pStyle w:val="Compact"/>
              <w:jc w:val="left"/>
            </w:pPr>
            <w:r>
              <w:t xml:space="preserve">第 3 景后 + ADCS</w:t>
            </w:r>
          </w:p>
        </w:tc>
        <w:tc>
          <w:tcPr>
            <w:tcW w:w="3140" w:type="dxa"/>
          </w:tcPr>
          <w:p>
            <w:pPr>
              <w:pStyle w:val="Compact"/>
              <w:jc w:val="right"/>
            </w:pPr>
            <w:r>
              <w:t xml:space="preserve">0.760</w:t>
            </w:r>
          </w:p>
        </w:tc>
      </w:tr>
    </w:tbl>
    <w:p>
      <w:pPr>
        <w:pStyle w:val="BodyText"/>
      </w:pPr>
      <w:r>
        <w:t xml:space="preserve">c1 明显偏低：变化发生在第一个时间间隔内，可用基线只有一次，是该任务的物理下界，不是训练 bug。</w:t>
      </w:r>
    </w:p>
    <w:bookmarkEnd w:id="23"/>
    <w:bookmarkStart w:id="24" w:name="复现命令"/>
    <w:p>
      <w:pPr>
        <w:pStyle w:val="Heading2"/>
      </w:pPr>
      <w:r>
        <w:t xml:space="preserve">复现命令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/usr/local/Ascend/ascend-toolkit/set_env.sh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ASCEND_RT_VISIBLE_DEVICES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OMP_NUM_THREADS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daninet.tools.parity_check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npu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8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daninet.net.train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augmented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--val-patches</w:t>
      </w:r>
      <w:r>
        <w:rPr>
          <w:rStyle w:val="NormalTok"/>
        </w:rPr>
        <w:t xml:space="preserve"> 4000 </w:t>
      </w:r>
      <w:r>
        <w:rPr>
          <w:rStyle w:val="AttributeTok"/>
        </w:rPr>
        <w:t xml:space="preserve">--test-patches</w:t>
      </w:r>
      <w:r>
        <w:rPr>
          <w:rStyle w:val="NormalTok"/>
        </w:rPr>
        <w:t xml:space="preserve"> 4000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--blocks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--prefetch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fp16 </w:t>
      </w:r>
      <w:r>
        <w:rPr>
          <w:rStyle w:val="AttributeTok"/>
        </w:rPr>
        <w:t xml:space="preserve">--amp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npu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a3_amp_b16_b10_e15</w:t>
      </w:r>
    </w:p>
    <w:bookmarkEnd w:id="24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9A9A9A"/>
        <w:sz w:val="16"/>
      </w:rPr>
      <w:t xml:space="preserve">InSAR_affair  ·  </w:t>
    </w:r>
    <w:fldSimple w:instr=" PAGE ">
      <w:r>
        <w:rPr>
          <w:color w:val="9A9A9A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</w:pPr>
    <w:rPr>
      <w:rFonts w:ascii="Calibri" w:cs="Calibri" w:eastAsia="微软雅黑" w:hAnsi="Calibri"/>
      <w:b/>
      <w:bCs/>
      <w:color w:val="1B2A33"/>
      <w:sz w:val="40"/>
      <w:szCs w:val="40"/>
    </w:rPr>
  </w:style>
  <w:style w:styleId="Subtitle" w:type="paragraph">
    <w:name w:val="Subtitle"/>
    <w:basedOn w:val="Normal"/>
    <w:next w:val="Normal"/>
    <w:qFormat/>
    <w:pPr>
      <w:spacing w:after="200" w:before="0"/>
      <w:pBdr>
        <w:bottom w:color="D3CCBB" w:space="6" w:sz="6" w:val="single"/>
      </w:pBdr>
    </w:pPr>
    <w:rPr>
      <w:rFonts w:ascii="Calibri" w:cs="Calibri" w:eastAsia="微软雅黑" w:hAnsi="Calibri"/>
      <w:color w:val="6E6A60"/>
      <w:sz w:val="20"/>
      <w:szCs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basedOn w:val="Normal"/>
    <w:next w:val="Normal"/>
    <w:qFormat/>
    <w:pPr>
      <w:spacing w:after="320" w:before="0"/>
    </w:pPr>
    <w:rPr>
      <w:rFonts w:ascii="Calibri" w:cs="Calibri" w:eastAsia="微软雅黑" w:hAnsi="Calibri"/>
      <w:color w:val="6E6A60"/>
      <w:sz w:val="18"/>
      <w:szCs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440"/>
      <w:pBdr>
        <w:bottom w:color="D3CCBB" w:space="6" w:sz="6" w:val="single"/>
      </w:pBdr>
    </w:pPr>
    <w:rPr>
      <w:rFonts w:ascii="Calibri" w:cs="Calibri" w:eastAsia="微软雅黑" w:hAnsi="Calibri"/>
      <w:b/>
      <w:bCs/>
      <w:color w:val="1B2A33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320"/>
    </w:pPr>
    <w:rPr>
      <w:rFonts w:ascii="Calibri" w:cs="Calibri" w:eastAsia="微软雅黑" w:hAnsi="Calibri"/>
      <w:b/>
      <w:bCs/>
      <w:color w:val="1B2A33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60"/>
    </w:pPr>
    <w:rPr>
      <w:rFonts w:ascii="Calibri" w:cs="Calibri" w:eastAsia="微软雅黑" w:hAnsi="Calibri"/>
      <w:b/>
      <w:bCs/>
      <w:color w:val="333333"/>
      <w:sz w:val="21"/>
      <w:szCs w:val="21"/>
    </w:rPr>
  </w:style>
  <w:style w:styleId="Heading4" w:type="paragraph">
    <w:name w:val="heading 4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5" w:type="paragraph">
    <w:name w:val="heading 5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6" w:type="paragraph">
    <w:name w:val="heading 6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qFormat/>
    <w:pPr>
      <w:spacing w:after="140" w:before="120" w:line="290" w:lineRule="auto"/>
      <w:pBdr>
        <w:left w:color="9CC6BE" w:space="10" w:sz="18" w:val="single"/>
      </w:pBdr>
      <w:ind w:left="240" w:right="160"/>
      <w:shd w:color="auto" w:fill="F7F4EC" w:val="clear"/>
    </w:pPr>
    <w:rPr>
      <w:rFonts w:ascii="Calibri" w:cs="Calibri" w:eastAsia="微软雅黑" w:hAnsi="Calibri"/>
      <w:color w:val="333333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Author" w:type="paragraph">
    <w:name w:val="Author"/>
    <w:basedOn w:val="Normal"/>
    <w:next w:val="Normal"/>
    <w:qFormat/>
    <w:pPr>
      <w:spacing w:after="60" w:before="0"/>
    </w:pPr>
    <w:rPr>
      <w:rFonts w:ascii="Calibri" w:cs="Calibri" w:eastAsia="微软雅黑" w:hAnsi="Calibri"/>
      <w:color w:val="6E6A60"/>
      <w:sz w:val="18"/>
      <w:szCs w:val="18"/>
    </w:rPr>
  </w:style>
  <w:style w:styleId="FirstParagraph" w:type="paragraph">
    <w:name w:val="First Paragraph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styleId="Compact" w:type="paragraph">
    <w:name w:val="Compact"/>
    <w:basedOn w:val="Normal"/>
    <w:next w:val="Normal"/>
    <w:qFormat/>
    <w:pPr>
      <w:spacing w:after="20" w:before="0" w:line="290" w:lineRule="auto"/>
    </w:pPr>
    <w:rPr>
      <w:rFonts w:ascii="Calibri" w:cs="Calibri" w:eastAsia="微软雅黑" w:hAnsi="Calibri"/>
      <w:color w:val="1B2A33"/>
      <w:sz w:val="21"/>
      <w:szCs w:val="21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SourceCode" w:type="paragraph">
    <w:name w:val="Source Code"/>
    <w:basedOn w:val="Normal"/>
    <w:qFormat/>
    <w:pPr>
      <w:spacing w:after="80" w:before="80" w:line="260" w:lineRule="auto"/>
      <w:shd w:color="auto" w:fill="F7F4EC" w:val="clear"/>
      <w:pBdr>
        <w:left w:color="9CC6BE" w:space="8" w:sz="18" w:val="single"/>
      </w:pBdr>
      <w:ind w:left="120" w:right="120"/>
    </w:pPr>
    <w:rPr>
      <w:rFonts w:ascii="Consolas" w:cs="Consolas" w:eastAsia="Consolas" w:hAnsi="Consolas"/>
      <w:color w:val="242424"/>
      <w:sz w:val="18"/>
      <w:szCs w:val="18"/>
    </w:rPr>
  </w:style>
  <w:style w:styleId="VerbatimChar" w:type="character">
    <w:name w:val="Verbatim Char"/>
    <w:basedOn w:val="DefaultParagraphFont"/>
    <w:rPr>
      <w:rFonts w:ascii="Consolas" w:cs="Consolas" w:eastAsia="Consolas" w:hAnsi="Consolas"/>
      <w:color w:val="242424"/>
      <w:sz w:val="19"/>
      <w:szCs w:val="19"/>
    </w:rPr>
  </w:style>
  <w:style w:styleId="Table" w:type="table">
    <w:name w:val="Table"/>
    <w:qFormat/>
    <w:tblPr>
      <w:tblBorders>
        <w:top w:color="D3CCBB" w:sz="8" w:val="single"/>
        <w:bottom w:color="D3CCBB" w:sz="8" w:val="single"/>
        <w:insideH w:color="E7E2D6" w:sz="4" w:val="single"/>
        <w:left w:sz="0" w:val="none"/>
        <w:right w:sz="0" w:val="none"/>
        <w:insideV w:sz="0" w:val="none"/>
      </w:tblBorders>
      <w:tblCellMar>
        <w:top w:type="dxa" w:w="90"/>
        <w:bottom w:type="dxa" w:w="90"/>
        <w:left w:type="dxa" w:w="120"/>
        <w:right w:type="dxa" w:w="120"/>
      </w:tblCellMar>
    </w:tblPr>
    <w:tblStylePr w:type="firstRow">
      <w:rPr>
        <w:rFonts w:ascii="Calibri" w:cs="Calibri" w:eastAsia="微软雅黑" w:hAnsi="Calibri"/>
        <w:b/>
        <w:bCs/>
        <w:color w:val="1B2A33"/>
        <w:sz w:val="19"/>
        <w:szCs w:val="19"/>
      </w:rPr>
      <w:tcPr>
        <w:shd w:color="auto" w:fill="F2EEE3" w:val="clear"/>
      </w:tcPr>
    </w:tblStyle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数据分析</dc:title>
  <dc:creator/>
  <cp:keywords/>
  <dcterms:created xsi:type="dcterms:W3CDTF">2026-10-19T09:57:26Z</dcterms:created>
  <dcterms:modified xsi:type="dcterms:W3CDTF">2026-10-19T09:57:26Z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实验设置、对照结果与三条结论</vt:lpwstr>
  </property>
</Properties>
</file>