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缺陷分析</w:t>
      </w:r>
    </w:p>
    <w:p>
      <w:pPr>
        <w:pStyle w:val="Subtitle"/>
      </w:pPr>
      <w:r>
        <w:t xml:space="preserve">缺陷清单、所需资源、疑难点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按「已证实的问题 → 需要的资源 → 还没想清的地方」三层组织，每条都给出证据。</w:t>
      </w:r>
    </w:p>
    <w:bookmarkStart w:id="20" w:name="一缺陷清单"/>
    <w:p>
      <w:pPr>
        <w:pStyle w:val="Heading2"/>
      </w:pPr>
      <w:r>
        <w:t xml:space="preserve">一、缺陷清单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513"/>
        <w:gridCol w:w="2398"/>
        <w:gridCol w:w="1927"/>
        <w:gridCol w:w="2716"/>
        <w:gridCol w:w="2084"/>
      </w:tblGrid>
      <w:tr>
        <w:trPr>
          <w:tblHeader w:val="on"/>
        </w:trP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论文级规模（250 × 1.48 M patch）单卡需约 214 h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无法在本机对齐论文精度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t xml:space="preserve">实测 480 patch/s 端到端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降级为「中等规模 + 多 seed」，报告中明确不等价</w:t>
            </w:r>
          </w:p>
        </w:tc>
      </w:tr>
      <w:t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50 epoch + batch 32 的分数低于 15 epoch + batch 16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加算力反而变差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t xml:space="preserve">L=9：0.6876 vs 0.7021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学习率日程需按总 epoch 重标定</w:t>
            </w:r>
          </w:p>
        </w:tc>
      </w:tr>
      <w:t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c1（第 1 景后变化）p_D 仅 0.574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拉低加权 F1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runs/a3_amp_b16_e15/metrics.json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属于物理下界，暂不作为 bug 修</w:t>
            </w:r>
          </w:p>
        </w:tc>
      </w:tr>
      <w:t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数据管道 fp32 下只有 332 patch/s，低于设备算力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GPU/NPU 等数据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SPEC-002</w:t>
            </w:r>
            <w:r>
              <w:t xml:space="preserve"> </w:t>
            </w:r>
            <w:r>
              <w:t xml:space="preserve">§2.2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已用 fp16 传输 + prefetch 32 解决</w:t>
            </w:r>
          </w:p>
        </w:tc>
      </w:tr>
      <w:t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torch.compile(backend="npu")</w:t>
            </w:r>
            <w:r>
              <w:t xml:space="preserve"> </w:t>
            </w:r>
            <w:r>
              <w:t xml:space="preserve">10 分钟未产出首个 step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图模式不可用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t xml:space="preserve">探测日志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暂不启用，列为后续评估</w:t>
            </w:r>
          </w:p>
        </w:tc>
      </w:tr>
      <w:tr>
        <w:tc>
          <w:tcPr>
            <w:tcW w:w="513" w:type="dxa"/>
          </w:tcPr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真实数据两例（冰岛 Sentinel-1、TanDEM-X 露天矿）未实现</w:t>
            </w:r>
          </w:p>
        </w:tc>
        <w:tc>
          <w:tcPr>
            <w:tcW w:w="1927" w:type="dxa"/>
          </w:tcPr>
          <w:p>
            <w:pPr>
              <w:pStyle w:val="Compact"/>
              <w:jc w:val="left"/>
            </w:pPr>
            <w:r>
              <w:t xml:space="preserve">缺端到端证据</w:t>
            </w:r>
          </w:p>
        </w:tc>
        <w:tc>
          <w:tcPr>
            <w:tcW w:w="2716" w:type="dxa"/>
          </w:tcPr>
          <w:p>
            <w:pPr>
              <w:pStyle w:val="Compact"/>
              <w:jc w:val="left"/>
            </w:pPr>
            <w:r>
              <w:t xml:space="preserve">代码包内无数据与推理脚本</w:t>
            </w:r>
          </w:p>
        </w:tc>
        <w:tc>
          <w:tcPr>
            <w:tcW w:w="2084" w:type="dxa"/>
          </w:tcPr>
          <w:p>
            <w:pPr>
              <w:pStyle w:val="Compact"/>
              <w:jc w:val="left"/>
            </w:pPr>
            <w:r>
              <w:t xml:space="preserve">需要数据授权后再排期</w:t>
            </w:r>
          </w:p>
        </w:tc>
      </w:tr>
    </w:tbl>
    <w:bookmarkEnd w:id="20"/>
    <w:bookmarkStart w:id="21" w:name="二改进所需资源与设备"/>
    <w:p>
      <w:pPr>
        <w:pStyle w:val="Heading2"/>
      </w:pPr>
      <w:r>
        <w:t xml:space="preserve">二、改进所需资源与设备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238"/>
        <w:gridCol w:w="2348"/>
        <w:gridCol w:w="2628"/>
        <w:gridCol w:w="2424"/>
      </w:tblGrid>
      <w:tr>
        <w:trPr>
          <w:tblHeader w:val="on"/>
        </w:trPr>
        <w:tc>
          <w:tcPr>
            <w:tcW w:w="2238" w:type="dxa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W w:w="2348" w:type="dxa"/>
          </w:tcPr>
          <w:p>
            <w:pPr>
              <w:pStyle w:val="Compact"/>
              <w:jc w:val="left"/>
            </w:pPr>
            <w:r>
              <w:t xml:space="preserve">需要什么</w:t>
            </w:r>
          </w:p>
        </w:tc>
        <w:tc>
          <w:tcPr>
            <w:tcW w:w="2628" w:type="dxa"/>
          </w:tcPr>
          <w:p>
            <w:pPr>
              <w:pStyle w:val="Compact"/>
              <w:jc w:val="left"/>
            </w:pPr>
            <w:r>
              <w:t xml:space="preserve">当前缺口</w:t>
            </w:r>
          </w:p>
        </w:tc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>
            <w:tcW w:w="2238" w:type="dxa"/>
          </w:tcPr>
          <w:p>
            <w:pPr>
              <w:pStyle w:val="Compact"/>
              <w:jc w:val="left"/>
            </w:pPr>
            <w:r>
              <w:t xml:space="preserve">对齐论文训练规模</w:t>
            </w:r>
          </w:p>
        </w:tc>
        <w:tc>
          <w:tcPr>
            <w:tcW w:w="2348" w:type="dxa"/>
          </w:tcPr>
          <w:p>
            <w:pPr>
              <w:pStyle w:val="Compact"/>
              <w:jc w:val="left"/>
            </w:pPr>
            <w:r>
              <w:t xml:space="preserve">8 卡以上 910 或 V100 集群，或接受 200 h 单卡</w:t>
            </w:r>
          </w:p>
        </w:tc>
        <w:tc>
          <w:tcPr>
            <w:tcW w:w="2628" w:type="dxa"/>
          </w:tcPr>
          <w:p>
            <w:pPr>
              <w:pStyle w:val="Compact"/>
              <w:jc w:val="left"/>
            </w:pPr>
            <w:r>
              <w:t xml:space="preserve">只有 1 卡可用</w:t>
            </w:r>
          </w:p>
        </w:tc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>
            <w:tcW w:w="2238" w:type="dxa"/>
          </w:tcPr>
          <w:p>
            <w:pPr>
              <w:pStyle w:val="Compact"/>
              <w:jc w:val="left"/>
            </w:pPr>
            <w:r>
              <w:t xml:space="preserve">真实数据验证</w:t>
            </w:r>
          </w:p>
        </w:tc>
        <w:tc>
          <w:tcPr>
            <w:tcW w:w="2348" w:type="dxa"/>
          </w:tcPr>
          <w:p>
            <w:pPr>
              <w:pStyle w:val="Compact"/>
              <w:jc w:val="left"/>
            </w:pPr>
            <w:r>
              <w:t xml:space="preserve">Sentinel-1 SLC（2023–2024 冰岛）＋ TanDEM-X 堆栈</w:t>
            </w:r>
          </w:p>
        </w:tc>
        <w:tc>
          <w:tcPr>
            <w:tcW w:w="2628" w:type="dxa"/>
          </w:tcPr>
          <w:p>
            <w:pPr>
              <w:pStyle w:val="Compact"/>
              <w:jc w:val="left"/>
            </w:pPr>
            <w:r>
              <w:t xml:space="preserve">无数据、无下载通道</w:t>
            </w:r>
          </w:p>
        </w:tc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高（决定结论强度）</w:t>
            </w:r>
          </w:p>
        </w:tc>
      </w:tr>
      <w:tr>
        <w:tc>
          <w:tcPr>
            <w:tcW w:w="2238" w:type="dxa"/>
          </w:tcPr>
          <w:p>
            <w:pPr>
              <w:pStyle w:val="Compact"/>
              <w:jc w:val="left"/>
            </w:pPr>
            <w:r>
              <w:t xml:space="preserve">多 seed 稳定性</w:t>
            </w:r>
          </w:p>
        </w:tc>
        <w:tc>
          <w:tcPr>
            <w:tcW w:w="2348" w:type="dxa"/>
          </w:tcPr>
          <w:p>
            <w:pPr>
              <w:pStyle w:val="Compact"/>
              <w:jc w:val="left"/>
            </w:pPr>
            <w:r>
              <w:t xml:space="preserve">单卡 × 5 次 × 6 min</w:t>
            </w:r>
          </w:p>
        </w:tc>
        <w:tc>
          <w:tcPr>
            <w:tcW w:w="2628" w:type="dxa"/>
          </w:tcPr>
          <w:p>
            <w:pPr>
              <w:pStyle w:val="Compact"/>
              <w:jc w:val="left"/>
            </w:pPr>
            <w:r>
              <w:t xml:space="preserve">无（成本可接受）</w:t>
            </w:r>
          </w:p>
        </w:tc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>
            <w:tcW w:w="2238" w:type="dxa"/>
          </w:tcPr>
          <w:p>
            <w:pPr>
              <w:pStyle w:val="Compact"/>
              <w:jc w:val="left"/>
            </w:pPr>
            <w:r>
              <w:t xml:space="preserve">图模式加速</w:t>
            </w:r>
          </w:p>
        </w:tc>
        <w:tc>
          <w:tcPr>
            <w:tcW w:w="2348" w:type="dxa"/>
          </w:tcPr>
          <w:p>
            <w:pPr>
              <w:pStyle w:val="Compact"/>
              <w:jc w:val="left"/>
            </w:pPr>
            <w:r>
              <w:t xml:space="preserve">CANN 版本与 torch_npu 支持的 compile 后端</w:t>
            </w:r>
          </w:p>
        </w:tc>
        <w:tc>
          <w:tcPr>
            <w:tcW w:w="2628" w:type="dxa"/>
          </w:tcPr>
          <w:p>
            <w:pPr>
              <w:pStyle w:val="Compact"/>
              <w:jc w:val="left"/>
            </w:pPr>
            <w:r>
              <w:t xml:space="preserve">当前版本不可用</w:t>
            </w:r>
          </w:p>
        </w:tc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>
            <w:tcW w:w="2238" w:type="dxa"/>
          </w:tcPr>
          <w:p>
            <w:pPr>
              <w:pStyle w:val="Compact"/>
              <w:jc w:val="left"/>
            </w:pPr>
            <w:r>
              <w:t xml:space="preserve">大显存下更大 patch</w:t>
            </w:r>
          </w:p>
        </w:tc>
        <w:tc>
          <w:tcPr>
            <w:tcW w:w="2348" w:type="dxa"/>
          </w:tcPr>
          <w:p>
            <w:pPr>
              <w:pStyle w:val="Compact"/>
              <w:jc w:val="left"/>
            </w:pPr>
            <w:r>
              <w:t xml:space="preserve">256×256 输入、batch 32</w:t>
            </w:r>
          </w:p>
        </w:tc>
        <w:tc>
          <w:tcPr>
            <w:tcW w:w="2628" w:type="dxa"/>
          </w:tcPr>
          <w:p>
            <w:pPr>
              <w:pStyle w:val="Compact"/>
              <w:jc w:val="left"/>
            </w:pPr>
            <w:r>
              <w:t xml:space="preserve">HBM 64 GB 足够，需改数据生成</w:t>
            </w:r>
          </w:p>
        </w:tc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21"/>
    <w:bookmarkStart w:id="22" w:name="三疑难点"/>
    <w:p>
      <w:pPr>
        <w:pStyle w:val="Heading2"/>
      </w:pPr>
      <w:r>
        <w:t xml:space="preserve">三、疑难点</w:t>
      </w:r>
    </w:p>
    <w:p>
      <w:pPr>
        <w:pStyle w:val="FirstParagraph"/>
      </w:pPr>
      <w:r>
        <w:rPr>
          <w:b/>
          <w:bCs/>
        </w:rPr>
        <w:t xml:space="preserve">Q1：为什么加深网络有效，加长训练无效？</w:t>
      </w:r>
    </w:p>
    <w:p>
      <w:pPr>
        <w:pStyle w:val="BodyText"/>
      </w:pPr>
      <w:r>
        <w:t xml:space="preserve">两种可能：一是 5 blocks 的表达能力不足（欠拟合），二是学习率日程在长训练里失效。证据偏向第一种：10 blocks 在同样 15 epoch 下涨 0.04，而 50 epoch 的 5 blocks 没有任何提升。验证方法：10 blocks × 50 epoch + 重标定日程，若继续提升则确认容量是主因。</w:t>
      </w:r>
    </w:p>
    <w:p>
      <w:pPr>
        <w:pStyle w:val="BodyText"/>
      </w:pPr>
      <w:r>
        <w:rPr>
          <w:b/>
          <w:bCs/>
        </w:rPr>
        <w:t xml:space="preserve">Q2：c1 的低检测率是数据问题还是模型问题？</w:t>
      </w:r>
    </w:p>
    <w:p>
      <w:pPr>
        <w:pStyle w:val="BodyText"/>
      </w:pPr>
      <w:r>
        <w:t xml:space="preserve">两种解释：一是变化发生在第一个时间间隔，可用的相干样本太少，属于信息不足；二是类别不平衡导致模型偏向 c0。验证方法：固定其它类别，单独过采样 c1 训练一轮，若 p_D 明显上升则是后者。</w:t>
      </w:r>
    </w:p>
    <w:p>
      <w:pPr>
        <w:pStyle w:val="BodyText"/>
      </w:pPr>
      <w:r>
        <w:rPr>
          <w:b/>
          <w:bCs/>
        </w:rPr>
        <w:t xml:space="preserve">Q3：fp16 传输会不会掩盖数值问题？</w:t>
      </w:r>
    </w:p>
    <w:p>
      <w:pPr>
        <w:pStyle w:val="BodyText"/>
      </w:pPr>
      <w:r>
        <w:t xml:space="preserve">当前只做了终态指标对比（Δ ≤ 0.0001）。更严格的验证是固定同一批数据，逐步比较每个 epoch 的 loss 轨迹；未做，标记为</w:t>
      </w:r>
      <w:r>
        <w:rPr>
          <w:b/>
          <w:bCs/>
        </w:rPr>
        <w:t xml:space="preserve">未验证</w:t>
      </w:r>
      <w:r>
        <w:t xml:space="preserve">。</w:t>
      </w:r>
    </w:p>
    <w:bookmarkEnd w:id="22"/>
    <w:bookmarkStart w:id="23" w:name="四当前状态"/>
    <w:p>
      <w:pPr>
        <w:pStyle w:val="Heading2"/>
      </w:pPr>
      <w:r>
        <w:t xml:space="preserve">四、当前状态</w:t>
      </w:r>
    </w:p>
    <w:p>
      <w:pPr>
        <w:pStyle w:val="Compact"/>
        <w:numPr>
          <w:ilvl w:val="0"/>
          <w:numId w:val="1001"/>
        </w:numPr>
      </w:pPr>
      <w:r>
        <w:t xml:space="preserve">已实现：设备抽象、AMP、fp16 管道、直播看板、报告站点</w:t>
      </w:r>
    </w:p>
    <w:p>
      <w:pPr>
        <w:pStyle w:val="Compact"/>
        <w:numPr>
          <w:ilvl w:val="0"/>
          <w:numId w:val="1001"/>
        </w:numPr>
      </w:pPr>
      <w:r>
        <w:t xml:space="preserve">已验证：NPU 与 GPU 同解；AMP 与 fp32 同解；10 blocks 提升</w:t>
      </w:r>
    </w:p>
    <w:p>
      <w:pPr>
        <w:pStyle w:val="Compact"/>
        <w:numPr>
          <w:ilvl w:val="0"/>
          <w:numId w:val="1001"/>
        </w:numPr>
      </w:pPr>
      <w:r>
        <w:t xml:space="preserve">未实现：真实数据两例、PCD 对比</w:t>
      </w:r>
    </w:p>
    <w:p>
      <w:pPr>
        <w:pStyle w:val="Compact"/>
        <w:numPr>
          <w:ilvl w:val="0"/>
          <w:numId w:val="1001"/>
        </w:numPr>
      </w:pPr>
      <w:r>
        <w:t xml:space="preserve">未验证：长训练的收敛性、fp16 的逐步轨迹一致性</w:t>
      </w:r>
    </w:p>
    <w:bookmarkEnd w:id="23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9A9A9A"/>
        <w:sz w:val="16"/>
      </w:rPr>
      <w:t xml:space="preserve">InSAR_affair  ·  </w:t>
    </w:r>
    <w:fldSimple w:instr=" PAGE ">
      <w:r>
        <w:rPr>
          <w:color w:val="9A9A9A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</w:pPr>
    <w:rPr>
      <w:rFonts w:ascii="Calibri" w:cs="Calibri" w:eastAsia="微软雅黑" w:hAnsi="Calibri"/>
      <w:b/>
      <w:bCs/>
      <w:color w:val="1B2A33"/>
      <w:sz w:val="40"/>
      <w:szCs w:val="40"/>
    </w:rPr>
  </w:style>
  <w:style w:styleId="Subtitle" w:type="paragraph">
    <w:name w:val="Subtitle"/>
    <w:basedOn w:val="Normal"/>
    <w:next w:val="Normal"/>
    <w:qFormat/>
    <w:pPr>
      <w:spacing w:after="200" w:before="0"/>
      <w:pBdr>
        <w:bottom w:color="D3CCBB" w:space="6" w:sz="6" w:val="single"/>
      </w:pBdr>
    </w:pPr>
    <w:rPr>
      <w:rFonts w:ascii="Calibri" w:cs="Calibri" w:eastAsia="微软雅黑" w:hAnsi="Calibri"/>
      <w:color w:val="6E6A60"/>
      <w:sz w:val="20"/>
      <w:szCs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basedOn w:val="Normal"/>
    <w:next w:val="Normal"/>
    <w:qFormat/>
    <w:pPr>
      <w:spacing w:after="320" w:before="0"/>
    </w:pPr>
    <w:rPr>
      <w:rFonts w:ascii="Calibri" w:cs="Calibri" w:eastAsia="微软雅黑" w:hAnsi="Calibri"/>
      <w:color w:val="6E6A60"/>
      <w:sz w:val="18"/>
      <w:szCs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440"/>
      <w:pBdr>
        <w:bottom w:color="D3CCBB" w:space="6" w:sz="6" w:val="single"/>
      </w:pBdr>
    </w:pPr>
    <w:rPr>
      <w:rFonts w:ascii="Calibri" w:cs="Calibri" w:eastAsia="微软雅黑" w:hAnsi="Calibri"/>
      <w:b/>
      <w:bCs/>
      <w:color w:val="1B2A33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320"/>
    </w:pPr>
    <w:rPr>
      <w:rFonts w:ascii="Calibri" w:cs="Calibri" w:eastAsia="微软雅黑" w:hAnsi="Calibri"/>
      <w:b/>
      <w:bCs/>
      <w:color w:val="1B2A33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60"/>
    </w:pPr>
    <w:rPr>
      <w:rFonts w:ascii="Calibri" w:cs="Calibri" w:eastAsia="微软雅黑" w:hAnsi="Calibri"/>
      <w:b/>
      <w:bCs/>
      <w:color w:val="333333"/>
      <w:sz w:val="21"/>
      <w:szCs w:val="21"/>
    </w:rPr>
  </w:style>
  <w:style w:styleId="Heading4" w:type="paragraph">
    <w:name w:val="heading 4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5" w:type="paragraph">
    <w:name w:val="heading 5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6" w:type="paragraph">
    <w:name w:val="heading 6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qFormat/>
    <w:pPr>
      <w:spacing w:after="140" w:before="120" w:line="290" w:lineRule="auto"/>
      <w:pBdr>
        <w:left w:color="9CC6BE" w:space="10" w:sz="18" w:val="single"/>
      </w:pBdr>
      <w:ind w:left="240" w:right="160"/>
      <w:shd w:color="auto" w:fill="F7F4EC" w:val="clear"/>
    </w:pPr>
    <w:rPr>
      <w:rFonts w:ascii="Calibri" w:cs="Calibri" w:eastAsia="微软雅黑" w:hAnsi="Calibri"/>
      <w:color w:val="333333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Author" w:type="paragraph">
    <w:name w:val="Author"/>
    <w:basedOn w:val="Normal"/>
    <w:next w:val="Normal"/>
    <w:qFormat/>
    <w:pPr>
      <w:spacing w:after="60" w:before="0"/>
    </w:pPr>
    <w:rPr>
      <w:rFonts w:ascii="Calibri" w:cs="Calibri" w:eastAsia="微软雅黑" w:hAnsi="Calibri"/>
      <w:color w:val="6E6A60"/>
      <w:sz w:val="18"/>
      <w:szCs w:val="18"/>
    </w:rPr>
  </w:style>
  <w:style w:styleId="FirstParagraph" w:type="paragraph">
    <w:name w:val="First Paragraph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styleId="Compact" w:type="paragraph">
    <w:name w:val="Compact"/>
    <w:basedOn w:val="Normal"/>
    <w:next w:val="Normal"/>
    <w:qFormat/>
    <w:pPr>
      <w:spacing w:after="20" w:before="0" w:line="290" w:lineRule="auto"/>
    </w:pPr>
    <w:rPr>
      <w:rFonts w:ascii="Calibri" w:cs="Calibri" w:eastAsia="微软雅黑" w:hAnsi="Calibri"/>
      <w:color w:val="1B2A33"/>
      <w:sz w:val="21"/>
      <w:szCs w:val="21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SourceCode" w:type="paragraph">
    <w:name w:val="Source Code"/>
    <w:basedOn w:val="Normal"/>
    <w:qFormat/>
    <w:pPr>
      <w:spacing w:after="80" w:before="80" w:line="260" w:lineRule="auto"/>
      <w:shd w:color="auto" w:fill="F7F4EC" w:val="clear"/>
      <w:pBdr>
        <w:left w:color="9CC6BE" w:space="8" w:sz="18" w:val="single"/>
      </w:pBdr>
      <w:ind w:left="120" w:right="120"/>
    </w:pPr>
    <w:rPr>
      <w:rFonts w:ascii="Consolas" w:cs="Consolas" w:eastAsia="Consolas" w:hAnsi="Consolas"/>
      <w:color w:val="242424"/>
      <w:sz w:val="18"/>
      <w:szCs w:val="18"/>
    </w:rPr>
  </w:style>
  <w:style w:styleId="VerbatimChar" w:type="character">
    <w:name w:val="Verbatim Char"/>
    <w:basedOn w:val="DefaultParagraphFont"/>
    <w:rPr>
      <w:rFonts w:ascii="Consolas" w:cs="Consolas" w:eastAsia="Consolas" w:hAnsi="Consolas"/>
      <w:color w:val="242424"/>
      <w:sz w:val="19"/>
      <w:szCs w:val="19"/>
    </w:rPr>
  </w:style>
  <w:style w:styleId="Table" w:type="table">
    <w:name w:val="Table"/>
    <w:qFormat/>
    <w:tblPr>
      <w:tblBorders>
        <w:top w:color="D3CCBB" w:sz="8" w:val="single"/>
        <w:bottom w:color="D3CCBB" w:sz="8" w:val="single"/>
        <w:insideH w:color="E7E2D6" w:sz="4" w:val="single"/>
        <w:left w:sz="0" w:val="none"/>
        <w:right w:sz="0" w:val="none"/>
        <w:insideV w:sz="0" w:val="none"/>
      </w:tblBorders>
      <w:tblCellMar>
        <w:top w:type="dxa" w:w="90"/>
        <w:bottom w:type="dxa" w:w="90"/>
        <w:left w:type="dxa" w:w="120"/>
        <w:right w:type="dxa" w:w="120"/>
      </w:tblCellMar>
    </w:tblPr>
    <w:tblStylePr w:type="firstRow">
      <w:rPr>
        <w:rFonts w:ascii="Calibri" w:cs="Calibri" w:eastAsia="微软雅黑" w:hAnsi="Calibri"/>
        <w:b/>
        <w:bCs/>
        <w:color w:val="1B2A33"/>
        <w:sz w:val="19"/>
        <w:szCs w:val="19"/>
      </w:rPr>
      <w:tcPr>
        <w:shd w:color="auto" w:fill="F2EEE3" w:val="clear"/>
      </w:tcPr>
    </w:tblStyle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缺陷分析</dc:title>
  <dc:creator/>
  <cp:keywords/>
  <dcterms:created xsi:type="dcterms:W3CDTF">2026-10-19T09:57:26Z</dcterms:created>
  <dcterms:modified xsi:type="dcterms:W3CDTF">2026-10-19T09:57:26Z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缺陷清单、所需资源、疑难点</vt:lpwstr>
  </property>
</Properties>
</file>