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</w:tbl>
    <w:bookmarkEnd w:id="21"/>
    <w:bookmarkStart w:id="22" w:name="三条结论"/>
    <w:p>
      <w:pPr>
        <w:pStyle w:val="Heading2"/>
      </w:pPr>
      <w:r>
        <w:t xml:space="preserve">三条结论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 blocks 在第 15 轮后基本饱和</w:t>
      </w:r>
      <w:r>
        <w:t xml:space="preserve">：从 15 轮拉到 25 轮，L=9 只涨 0.0034、L=121 只涨 0.0025，耗时却从 7.9 min 变 14.6 min。要再提升应换方向（15 blocks 或重标定学习率日程），而不是继续加 epoch。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2026-10-19T10:31:26Z</dcterms:created>
  <dcterms:modified xsi:type="dcterms:W3CDTF">2026-10-19T10:31:26Z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实验设置、对照结果与三条结论</vt:lpwstr>
  </property>
</Properties>
</file>