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50k/ep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0.7496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48.2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a3_b10_p200k_e60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Ascend910 · 10 blocks · 200k/ep · 60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0.7815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425 min</w:t>
            </w:r>
          </w:p>
        </w:tc>
      </w:tr>
    </w:tbl>
    <w:bookmarkEnd w:id="21"/>
    <w:bookmarkStart w:id="22" w:name="五条结论"/>
    <w:p>
      <w:pPr>
        <w:pStyle w:val="Heading2"/>
      </w:pPr>
      <w:r>
        <w:t xml:space="preserve">五条结论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「饱和」取决于总呈现量，不是 epoch 数</w:t>
      </w:r>
      <w:r>
        <w:t xml:space="preserve">。此前 10 blocks 在 10k/epoch 下从 15 轮加到 25 轮只涨 0.003，看起来饱和；但把每轮样本提到 200k 后，同样 10 blocks 在 60 轮里把 L=121 从 0.7941 推到</w:t>
      </w:r>
      <w:r>
        <w:t xml:space="preserve"> </w:t>
      </w:r>
      <w:r>
        <w:rPr>
          <w:b/>
          <w:bCs/>
        </w:rPr>
        <w:t xml:space="preserve">0.8241</w:t>
      </w:r>
      <w:r>
        <w:t xml:space="preserve">（+0.030）、L=9 从 0.7460 推到 0.7815。此前判断是「数据量不足」造成的假饱和。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 自身已饱和</w:t>
      </w:r>
      <w:r>
        <w:t xml:space="preserve">：ep36 首次降 LR 后仅 +0.0015，ep51 第二次降 LR 后 +0.0002，ep55 达峰。再堆 epoch 无收益，下一步只能加宽/加深网络，或改变数据分布。与论文仍差 0.14–0.17，主因是呈现量 1,200 万 vs 3.71 亿（</w:t>
      </w:r>
      <w:r>
        <w:rPr>
          <w:b/>
          <w:bCs/>
        </w:rPr>
        <w:t xml:space="preserve">3.2%</w:t>
      </w:r>
      <w:r>
        <w:t xml:space="preserve">）。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2026-10-20T10:01:07Z</dcterms:created>
  <dcterms:modified xsi:type="dcterms:W3CDTF">2026-10-20T10:01:07Z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subtitle">
    <vt:lpwstr>实验设置、对照结果与三条结论</vt:lpwstr>
  </property>
</Properties>
</file>