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数据分析</w:t>
      </w:r>
    </w:p>
    <w:p>
      <w:pPr>
        <w:pStyle w:val="Subtitle"/>
      </w:pPr>
      <w:r>
        <w:t xml:space="preserve">实验设置、对照结果与三条结论</w:t>
      </w:r>
    </w:p>
    <w:p>
      <w:pPr>
        <w:pStyle w:val="Date"/>
      </w:pPr>
      <w:r>
        <w:t xml:space="preserve">2026-10-23</w:t>
      </w:r>
    </w:p>
    <w:p>
      <w:pPr>
        <w:pStyle w:val="FirstParagraph"/>
      </w:pPr>
      <w:r>
        <w:t xml:space="preserve">本页汇总 2026-10-19 在单卡 Ascend910_9382 上的复现结果。所有数值取自</w:t>
      </w:r>
      <w:r>
        <w:t xml:space="preserve"> </w:t>
      </w:r>
      <w:r>
        <w:rPr>
          <w:rStyle w:val="VerbatimChar"/>
        </w:rPr>
        <w:t xml:space="preserve">daninet/runs/&lt;run&gt;/metrics.json</w:t>
      </w:r>
      <w:r>
        <w:t xml:space="preserve">，可用页面底部命令复算。</w:t>
      </w:r>
    </w:p>
    <w:bookmarkStart w:id="20" w:name="实验设置"/>
    <w:p>
      <w:pPr>
        <w:pStyle w:val="Heading2"/>
      </w:pPr>
      <w:r>
        <w:t xml:space="preserve">实验设置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599"/>
        <w:gridCol w:w="7039"/>
      </w:tblGrid>
      <w:tr>
        <w:trPr>
          <w:tblHeader w:val="on"/>
        </w:trP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4 个幅度 + 6 个相干，</w:t>
            </w:r>
            <w:r>
              <w:rPr>
                <w:rStyle w:val="VerbatimChar"/>
              </w:rPr>
              <w:t xml:space="preserve">10 × 128 × 128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网络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全卷积、无池化；5 blocks = 759,124 参数；10 blocks = 1,498,324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训练视数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9 / 16 / 36 / 121（augmented 模式混合采样）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测试视数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9 / 16 / 25 / 36 / 49 / 121，其中</w:t>
            </w:r>
            <w:r>
              <w:t xml:space="preserve"> </w:t>
            </w:r>
            <w:r>
              <w:rPr>
                <w:b/>
                <w:bCs/>
              </w:rPr>
              <w:t xml:space="preserve">25、49 未参与训练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损失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Categorical Cross-Entropy（Eq. 34），Adam，学习率按 Eq. 35 三段下降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在线合成，不落盘；每 batch 固定 seed，保证可复现</w:t>
            </w:r>
          </w:p>
        </w:tc>
      </w:tr>
    </w:tbl>
    <w:bookmarkEnd w:id="20"/>
    <w:bookmarkStart w:id="21" w:name="结果对比"/>
    <w:p>
      <w:pPr>
        <w:pStyle w:val="Heading2"/>
      </w:pPr>
      <w:r>
        <w:t xml:space="preserve">结果对比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424"/>
        <w:gridCol w:w="2946"/>
        <w:gridCol w:w="1008"/>
        <w:gridCol w:w="1008"/>
        <w:gridCol w:w="1008"/>
        <w:gridCol w:w="1244"/>
      </w:tblGrid>
      <w:tr>
        <w:trPr>
          <w:tblHeader w:val="on"/>
        </w:trPr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设备 / 配置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L=9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L=25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L=121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训练耗时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final_augmented_v2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RTX 4060 · 5 blocks · fp32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28.1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a3_augmented_e15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fp32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8.9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</w:t>
            </w:r>
            <w:r>
              <w:t xml:space="preserve"> </w:t>
            </w:r>
            <w:r>
              <w:rPr>
                <w:b/>
                <w:bCs/>
              </w:rPr>
              <w:t xml:space="preserve">AMP+fp16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5.8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a3_amp_b16_b10_e15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</w:t>
            </w:r>
            <w:r>
              <w:t xml:space="preserve"> </w:t>
            </w:r>
            <w:r>
              <w:t xml:space="preserve">· AMP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0.7426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0.7604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0.7916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7.9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a3_b10_e25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 · 25 ep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0.7460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0.7628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0.7941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14.6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a3_aug_e50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50 ep · b32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0.6876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0.7186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0.7609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21.2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a3_s5_p50k_e25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50k/ep · 25 ep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0.7496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0.7887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48.2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a3_b10_p200k_e60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Ascend910 · 10 blocks · 200k/ep · 60 ep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0.7815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0.8241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425 min</w:t>
            </w:r>
          </w:p>
        </w:tc>
      </w:tr>
    </w:tbl>
    <w:bookmarkEnd w:id="21"/>
    <w:bookmarkStart w:id="22" w:name="五条结论"/>
    <w:p>
      <w:pPr>
        <w:pStyle w:val="Heading2"/>
      </w:pPr>
      <w:r>
        <w:t xml:space="preserve">五条结论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设备无关</w:t>
      </w:r>
      <w:r>
        <w:t xml:space="preserve">：NPU 与 GPU 基线的逐视数差异 ≤ 0.0003，像素级 argmax 一致率 1.000，说明</w:t>
      </w:r>
      <w:r>
        <w:t xml:space="preserve"> </w:t>
      </w:r>
      <w:r>
        <w:rPr>
          <w:rStyle w:val="VerbatimChar"/>
        </w:rPr>
        <w:t xml:space="preserve">torch_npu</w:t>
      </w:r>
      <w:r>
        <w:t xml:space="preserve"> </w:t>
      </w:r>
      <w:r>
        <w:t xml:space="preserve">路径与 CUDA 同解。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混合精度免费</w:t>
      </w:r>
      <w:r>
        <w:t xml:space="preserve">：AMP + fp16 数据管道的指标与 fp32 一致（Δ ≤ 0.0001），耗时降到 1/4.8。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加规格要加成对的</w:t>
      </w:r>
      <w:r>
        <w:t xml:space="preserve">：单纯把 epoch 加到 50、batch 加到 32 会掉 0.008–0.014，因为 Eq. 35 的学习率日程仍按 25 epoch 下降；加深到 10 blocks 则稳定提升 0.02–0.04。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「饱和」取决于总呈现量，不是 epoch 数</w:t>
      </w:r>
      <w:r>
        <w:t xml:space="preserve">。此前 10 blocks 在 10k/epoch 下从 15 轮加到 25 轮只涨 0.003，看起来饱和；但把每轮样本提到 200k 后，同样 10 blocks 在 60 轮里把 L=121 从 0.7941 推到</w:t>
      </w:r>
      <w:r>
        <w:t xml:space="preserve"> </w:t>
      </w:r>
      <w:r>
        <w:rPr>
          <w:b/>
          <w:bCs/>
        </w:rPr>
        <w:t xml:space="preserve">0.8241</w:t>
      </w:r>
      <w:r>
        <w:t xml:space="preserve">（+0.030）、L=9 从 0.7460 推到 0.7815。此前判断是「数据量不足」造成的假饱和。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P2 自身已饱和</w:t>
      </w:r>
      <w:r>
        <w:t xml:space="preserve">：ep36 首次降 LR 后仅 +0.0015，ep51 第二次降 LR 后 +0.0002，ep55 达峰。再堆 epoch 无收益，下一步只能加宽/加深网络，或改变数据分布。与论文仍差 0.14–0.17，主因是呈现量 1,200 万 vs 3.71 亿（</w:t>
      </w:r>
      <w:r>
        <w:rPr>
          <w:b/>
          <w:bCs/>
        </w:rPr>
        <w:t xml:space="preserve">3.2%</w:t>
      </w:r>
      <w:r>
        <w:t xml:space="preserve">）。</w:t>
      </w:r>
    </w:p>
    <w:bookmarkEnd w:id="22"/>
    <w:bookmarkStart w:id="23" w:name="类别层面"/>
    <w:p>
      <w:pPr>
        <w:pStyle w:val="Heading2"/>
      </w:pPr>
      <w:r>
        <w:t xml:space="preserve">类别层面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412"/>
        <w:gridCol w:w="5086"/>
        <w:gridCol w:w="3140"/>
      </w:tblGrid>
      <w:tr>
        <w:trPr>
          <w:tblHeader w:val="on"/>
        </w:trP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L=121 的 p_D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无变化 / 始终相干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0.886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0.574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2 景后发生动态变化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0.696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3 景后 + ADCS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t xml:space="preserve">c1 明显偏低：变化发生在第一个时间间隔内，可用基线只有一次，是该任务的物理下界，不是训练 bug。</w:t>
      </w:r>
    </w:p>
    <w:bookmarkEnd w:id="23"/>
    <w:bookmarkStart w:id="24" w:name="复现命令"/>
    <w:p>
      <w:pPr>
        <w:pStyle w:val="Heading2"/>
      </w:pPr>
      <w:r>
        <w:t xml:space="preserve">复现命令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--blocks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a3_amp_b16_b10_e15</w:t>
      </w:r>
    </w:p>
    <w:bookmarkEnd w:id="24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数据分析</dc:title>
  <dc:creator/>
  <cp:keywords/>
  <dcterms:created xsi:type="dcterms:W3CDTF">2026-10-22T16:30:37Z</dcterms:created>
  <dcterms:modified xsi:type="dcterms:W3CDTF">2026-10-22T16:30:37Z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2026-10-23</vt:lpwstr>
  </property>
  <property fmtid="{D5CDD505-2E9C-101B-9397-08002B2CF9AE}" pid="3" name="subtitle">
    <vt:lpwstr>实验设置、对照结果与三条结论</vt:lpwstr>
  </property>
</Properties>
</file>