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复现说明</w:t>
      </w:r>
    </w:p>
    <w:p>
      <w:pPr>
        <w:pStyle w:val="Subtitle"/>
      </w:pPr>
      <w:r>
        <w:t xml:space="preserve">DANI-NET 复现的完整说明：公式对照、复现发现、结果表</w:t>
      </w:r>
    </w:p>
    <w:p>
      <w:pPr>
        <w:pStyle w:val="Date"/>
      </w:pPr>
      <w:r>
        <w:t xml:space="preserve">2026-10-23</w:t>
      </w:r>
    </w:p>
    <w:p>
      <w:pPr>
        <w:pStyle w:val="FirstParagraph"/>
      </w:pPr>
      <w:r>
        <w:t xml:space="preserve">对论文</w:t>
      </w:r>
      <w:r>
        <w:t xml:space="preserve"> </w:t>
      </w:r>
      <w:r>
        <w:rPr>
          <w:b/>
          <w:bCs/>
        </w:rPr>
        <w:t xml:space="preserve">"DANI-NET: A Physics-Aware Deep Learning Framework for Change Detection</w:t>
      </w:r>
      <w:r>
        <w:rPr>
          <w:b/>
          <w:bCs/>
        </w:rPr>
        <w:t xml:space="preserve"> </w:t>
      </w:r>
      <w:r>
        <w:rPr>
          <w:b/>
          <w:bCs/>
        </w:rPr>
        <w:t xml:space="preserve">using Repeat-Pass InSAR"</w:t>
      </w:r>
      <w:r>
        <w:t xml:space="preserve">（G. Costa, A. V. Monti Guarnieri, A. Parizzi, P. Rizzoli）</w:t>
      </w:r>
      <w:r>
        <w:t xml:space="preserve"> </w:t>
      </w:r>
      <w:r>
        <w:t xml:space="preserve">的</w:t>
      </w:r>
      <w:r>
        <w:rPr>
          <w:b/>
          <w:bCs/>
        </w:rPr>
        <w:t xml:space="preserve">合成信号模型 + 合成数据集生成 + 网络训练</w:t>
      </w:r>
      <w:r>
        <w:t xml:space="preserve">流程的代码复现。</w:t>
      </w:r>
    </w:p>
    <w:p>
      <w:pPr>
        <w:pStyle w:val="BodyText"/>
      </w:pPr>
      <w:r>
        <w:t xml:space="preserve">所有公式编号（Eq.）、图号（Fig.）、表号（Table）、章节号（Sec.）均指论文原文。</w:t>
      </w:r>
    </w:p>
    <w:p>
      <w:r>
        <w:pict>
          <v:rect style="width:0;height:1.5pt" o:hralign="center" o:hrstd="t" o:hr="t"/>
        </w:pict>
      </w:r>
    </w:p>
    <w:bookmarkStart w:id="20" w:name="X4c4d2243ed0269e421af1092c27156871f046ad"/>
    <w:p>
      <w:pPr>
        <w:pStyle w:val="Heading2"/>
      </w:pPr>
      <w:r>
        <w:t xml:space="preserve">1. 目录结构</w:t>
      </w:r>
    </w:p>
    <w:p>
      <w:pPr>
        <w:pStyle w:val="SourceCode"/>
      </w:pPr>
      <w:r>
        <w:rPr>
          <w:rStyle w:val="VerbatimChar"/>
        </w:rPr>
        <w:t xml:space="preserve">E:\DaniNet\</w:t>
      </w:r>
      <w:r>
        <w:br/>
      </w:r>
      <w:r>
        <w:rPr>
          <w:rStyle w:val="VerbatimChar"/>
        </w:rPr>
        <w:t xml:space="preserve">├── DANI_NET.pdf                  原始论文</w:t>
      </w:r>
      <w:r>
        <w:br/>
      </w:r>
      <w:r>
        <w:rPr>
          <w:rStyle w:val="VerbatimChar"/>
        </w:rPr>
        <w:t xml:space="preserve">└── daninet\                      复现代码包</w:t>
      </w:r>
      <w:r>
        <w:br/>
      </w:r>
      <w:r>
        <w:rPr>
          <w:rStyle w:val="VerbatimChar"/>
        </w:rPr>
        <w:t xml:space="preserve">    ├── config.py                 全部可调参数（物理、数据、网络、训练）</w:t>
      </w:r>
      <w:r>
        <w:br/>
      </w:r>
      <w:r>
        <w:rPr>
          <w:rStyle w:val="VerbatimChar"/>
        </w:rPr>
        <w:t xml:space="preserve">    ├── physics.py                后向散射模型 + 相干性因子分解 + Cholesky（Eq.5-7,17-18,21,27-33）</w:t>
      </w:r>
      <w:r>
        <w:br/>
      </w:r>
      <w:r>
        <w:rPr>
          <w:rStyle w:val="VerbatimChar"/>
        </w:rPr>
        <w:t xml:space="preserve">    ├── patterns.py               时空变化模式（Fig.5：圆锥/金字塔、入射方向、翻转、时间演化）</w:t>
      </w:r>
      <w:r>
        <w:br/>
      </w:r>
      <w:r>
        <w:rPr>
          <w:rStyle w:val="VerbatimChar"/>
        </w:rPr>
        <w:t xml:space="preserve">    ├── synthetic.py              合成信号模型与数据集生成（Sec.III,IV；Alg.1）</w:t>
      </w:r>
      <w:r>
        <w:br/>
      </w:r>
      <w:r>
        <w:rPr>
          <w:rStyle w:val="VerbatimChar"/>
        </w:rPr>
        <w:t xml:space="preserve">    ├── plot.py                   图/表生成（Fig.6,11,12,14；Table III/VIII 版式）</w:t>
      </w:r>
      <w:r>
        <w:br/>
      </w:r>
      <w:r>
        <w:rPr>
          <w:rStyle w:val="VerbatimChar"/>
        </w:rPr>
        <w:t xml:space="preserve">    ├── data\test_generator.py    信号模型自检（5 组物理一致性测试）</w:t>
      </w:r>
      <w:r>
        <w:br/>
      </w:r>
      <w:r>
        <w:rPr>
          <w:rStyle w:val="VerbatimChar"/>
        </w:rPr>
        <w:t xml:space="preserve">    ├── net\model.py              DANI-NET 网络（Sec.V-A，Fig.7，Table IV）</w:t>
      </w:r>
      <w:r>
        <w:br/>
      </w:r>
      <w:r>
        <w:rPr>
          <w:rStyle w:val="VerbatimChar"/>
        </w:rPr>
        <w:t xml:space="preserve">    ├── net\metrics.py            ACC / F1 / F1_w / p_D / 混淆矩阵（Eq.36-38，Sec.V-C）</w:t>
      </w:r>
      <w:r>
        <w:br/>
      </w:r>
      <w:r>
        <w:rPr>
          <w:rStyle w:val="VerbatimChar"/>
        </w:rPr>
        <w:t xml:space="preserve">    ├── net\train.py              训练与评估流程（Sec.V-B, V-D, VII）</w:t>
      </w:r>
      <w:r>
        <w:br/>
      </w:r>
      <w:r>
        <w:rPr>
          <w:rStyle w:val="VerbatimChar"/>
        </w:rPr>
        <w:t xml:space="preserve">    ├── runs\                     每次训练的输出（best.pt / metrics.json / examples.npz）</w:t>
      </w:r>
      <w:r>
        <w:br/>
      </w:r>
      <w:r>
        <w:rPr>
          <w:rStyle w:val="VerbatimChar"/>
        </w:rPr>
        <w:t xml:space="preserve">    └── out\                      汇总图表与报告</w:t>
      </w:r>
    </w:p>
    <w:p>
      <w:pPr>
        <w:pStyle w:val="FirstParagraph"/>
      </w:pPr>
      <w:r>
        <w:t xml:space="preserve">运行环境：</w:t>
      </w:r>
      <w:r>
        <w:rPr>
          <w:rStyle w:val="VerbatimChar"/>
        </w:rPr>
        <w:t xml:space="preserve">D:\anima_trainer_ref\venv\Scripts\python.exe</w:t>
      </w:r>
      <w:r>
        <w:t xml:space="preserve">（Python 3.11.9，</w:t>
      </w:r>
      <w:r>
        <w:t xml:space="preserve"> </w:t>
      </w:r>
      <w:r>
        <w:t xml:space="preserve">numpy 1.26.4，</w:t>
      </w:r>
      <w:r>
        <w:rPr>
          <w:b/>
          <w:bCs/>
        </w:rPr>
        <w:t xml:space="preserve">torch 2.10.0+cu130</w:t>
      </w:r>
      <w:r>
        <w:t xml:space="preserve">，CUDA 可用：RTX 4060 Laptop 8 GB）。</w:t>
      </w:r>
    </w:p>
    <w:p>
      <w:r>
        <w:pict>
          <v:rect style="width:0;height:1.5pt" o:hralign="center" o:hrstd="t" o:hr="t"/>
        </w:pict>
      </w:r>
    </w:p>
    <w:bookmarkEnd w:id="20"/>
    <w:bookmarkStart w:id="24" w:name="X4b0ed6fc55eb24a9406969a608d3a5ecc2964f1"/>
    <w:p>
      <w:pPr>
        <w:pStyle w:val="Heading2"/>
      </w:pPr>
      <w:r>
        <w:t xml:space="preserve">2. 合成信号模型（Sec. III，Eq. 16-33）</w:t>
      </w:r>
    </w:p>
    <w:p>
      <w:pPr>
        <w:pStyle w:val="FirstParagraph"/>
      </w:pPr>
      <w:r>
        <w:t xml:space="preserve">对场景中每个像素，先抽取物理场景</w:t>
      </w:r>
      <w:r>
        <w:t xml:space="preserve"> </w:t>
      </w:r>
      <w:r>
        <w:rPr>
          <w:rStyle w:val="VerbatimChar"/>
        </w:rPr>
        <w:t xml:space="preserve">(θ, θ_L, Δα, Bn/Bc, τ/tr, L, 变化类别, 空间模式)</w:t>
      </w:r>
      <w:r>
        <w:t xml:space="preserve">，再按</w:t>
      </w:r>
    </w:p>
    <w:p>
      <w:pPr>
        <w:pStyle w:val="SourceCode"/>
      </w:pPr>
      <w:r>
        <w:rPr>
          <w:rStyle w:val="VerbatimChar"/>
        </w:rPr>
        <w:t xml:space="preserve">    S = ξ ∘ (L d),       L Lᵀ = Γ,       Γ = γ₀·γ_b·γ_t·(变化模式)      Eq.(5),(16),(21),(33)</w:t>
      </w:r>
    </w:p>
    <w:p>
      <w:pPr>
        <w:pStyle w:val="FirstParagraph"/>
      </w:pPr>
      <w:r>
        <w:t xml:space="preserve">生成 Bw = 4 个 SLC 复数样本（</w:t>
      </w:r>
      <w:r>
        <w:rPr>
          <w:rStyle w:val="VerbatimChar"/>
        </w:rPr>
        <w:t xml:space="preserve">d</w:t>
      </w:r>
      <w:r>
        <w:t xml:space="preserve"> </w:t>
      </w:r>
      <w:r>
        <w:t xml:space="preserve">为白复高斯过程，Eq. (19)）。随后按 Fig. 2 组装网络输入：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4 个幅度样本</w:t>
      </w:r>
      <w:r>
        <w:t xml:space="preserve"> </w:t>
      </w:r>
      <w:r>
        <w:rPr>
          <w:rStyle w:val="VerbatimChar"/>
        </w:rPr>
        <w:t xml:space="preserve">|S_n|</w:t>
      </w:r>
      <w:r>
        <w:t xml:space="preserve">（Eq. (25)）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6 个干涉相干样本</w:t>
      </w:r>
      <w:r>
        <w:t xml:space="preserve"> </w:t>
      </w:r>
      <w:r>
        <w:rPr>
          <w:rStyle w:val="VerbatimChar"/>
        </w:rPr>
        <w:t xml:space="preserve">|γ̂_ij|, i&lt;j</w:t>
      </w:r>
      <w:r>
        <w:t xml:space="preserve">（Eq. (5)，样本相干估计，L 视数）</w:t>
      </w:r>
    </w:p>
    <w:p>
      <w:pPr>
        <w:pStyle w:val="FirstParagraph"/>
      </w:pPr>
      <w:r>
        <w:t xml:space="preserve">得到</w:t>
      </w:r>
      <w:r>
        <w:t xml:space="preserve"> </w:t>
      </w:r>
      <w:r>
        <w:rPr>
          <w:rStyle w:val="VerbatimChar"/>
        </w:rPr>
        <w:t xml:space="preserve">[4+6, 128, 128]</w:t>
      </w:r>
      <w:r>
        <w:t xml:space="preserve"> </w:t>
      </w:r>
      <w:r>
        <w:t xml:space="preserve">张量。</w:t>
      </w:r>
    </w:p>
    <w:bookmarkStart w:id="21" w:name="X4dc201d0eafda85834b15d742e6f6071f9df7d8"/>
    <w:p>
      <w:pPr>
        <w:pStyle w:val="Heading3"/>
      </w:pPr>
      <w:r>
        <w:t xml:space="preserve">2.1 后向散射（Sec. III-A，Eq. 17-18，Table I）</w:t>
      </w:r>
    </w:p>
    <w:p>
      <w:pPr>
        <w:pStyle w:val="Compact"/>
        <w:numPr>
          <w:ilvl w:val="0"/>
          <w:numId w:val="1002"/>
        </w:numPr>
      </w:pPr>
      <w:r>
        <w:t xml:space="preserve">Ulaby &amp; Dobson 多项式模型（</w:t>
      </w:r>
      <w:r>
        <w:rPr>
          <w:rStyle w:val="VerbatimChar"/>
        </w:rPr>
        <w:t xml:space="preserve">ULABY_P</w:t>
      </w:r>
      <w:r>
        <w:t xml:space="preserve">）：X 波段 HH、裸土，θ∈[25°,55°]</w:t>
      </w:r>
      <w:r>
        <w:t xml:space="preserve"> </w:t>
      </w:r>
      <w:r>
        <w:t xml:space="preserve">→ β⁰ ∈ [-12.9, -1.3] dB。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"TanDEM-β0"</w:t>
      </w:r>
      <w:r>
        <w:t xml:space="preserve">：论文称用玻利维亚 Uyuni 盐沼 100 景 TanDEM-X 数据在 Ulaby 系数</w:t>
      </w:r>
      <w:r>
        <w:t xml:space="preserve"> </w:t>
      </w:r>
      <w:r>
        <w:t xml:space="preserve">基础上重新拟合（Table I 第二行）。</w:t>
      </w:r>
    </w:p>
    <w:p>
      <w:pPr>
        <w:pStyle w:val="FirstParagraph"/>
      </w:pPr>
      <w:r>
        <w:t xml:space="preserve">代码现在直接采用 Table I 的 TanDEM-β0 系数，并按论文 Eq. (18) 将其解释为</w:t>
      </w:r>
      <w:r>
        <w:t xml:space="preserve"> </w:t>
      </w:r>
      <w:r>
        <w:rPr>
          <w:b/>
          <w:bCs/>
        </w:rPr>
        <w:t xml:space="preserve">已经在 β⁰(dB) 域拟合的曲线</w:t>
      </w:r>
      <w:r>
        <w:t xml:space="preserve">；不会再次减去</w:t>
      </w:r>
      <w:r>
        <w:t xml:space="preserve"> </w:t>
      </w:r>
      <w:r>
        <w:rPr>
          <w:rStyle w:val="VerbatimChar"/>
        </w:rPr>
        <w:t xml:space="preserve">10log10(sin(theta))</w:t>
      </w:r>
      <w:r>
        <w:t xml:space="preserve">。Ulaby</w:t>
      </w:r>
      <w:r>
        <w:t xml:space="preserve"> </w:t>
      </w:r>
      <w:r>
        <w:t xml:space="preserve">系数仍按 Eq. (17) 作为 σ⁰ 曲线，再用局部入射角转换为 β⁰。这样可以明确区分</w:t>
      </w:r>
      <w:r>
        <w:t xml:space="preserve"> </w:t>
      </w:r>
      <w:r>
        <w:t xml:space="preserve">论文的两种模型，避免把 TanDEM-β0 当作 σ⁰ 重复转换。</w:t>
      </w:r>
    </w:p>
    <w:bookmarkEnd w:id="21"/>
    <w:bookmarkStart w:id="22" w:name="X95e3380bfa4a70f90f10ac9a99c5e0d3b0f5255"/>
    <w:p>
      <w:pPr>
        <w:pStyle w:val="Heading3"/>
      </w:pPr>
      <w:r>
        <w:t xml:space="preserve">2.2 相干性因子分解（Eq. 5-7）</w:t>
      </w:r>
    </w:p>
    <w:p>
      <w:pPr>
        <w:numPr>
          <w:ilvl w:val="0"/>
          <w:numId w:val="1003"/>
        </w:numPr>
      </w:pPr>
      <w:r>
        <w:t xml:space="preserve">时间去相干（Eq. (6)）：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γ_t^(ij) = exp(−|B_t,ij| / τ),   B_t,ij = |i−j|·t_r   ⟹   γ_t = exp(−|i−j| / (τ/t_r))</w:t>
      </w:r>
    </w:p>
    <w:p>
      <w:pPr>
        <w:numPr>
          <w:ilvl w:val="0"/>
          <w:numId w:val="1000"/>
        </w:numPr>
      </w:pPr>
      <w:r>
        <w:t xml:space="preserve">即 Table II 中的无量纲比值</w:t>
      </w:r>
      <w:r>
        <w:t xml:space="preserve"> </w:t>
      </w:r>
      <w:r>
        <w:rPr>
          <w:rStyle w:val="VerbatimChar"/>
        </w:rPr>
        <w:t xml:space="preserve">τ/t_r</w:t>
      </w:r>
      <w:r>
        <w:t xml:space="preserve"> </w:t>
      </w:r>
      <w:r>
        <w:rPr>
          <w:b/>
          <w:bCs/>
        </w:rPr>
        <w:t xml:space="preserve">越大，去相干越慢</w:t>
      </w:r>
      <w:r>
        <w:t xml:space="preserve">（与 Sec. VIII</w:t>
      </w:r>
      <w:r>
        <w:t xml:space="preserve"> </w:t>
      </w:r>
      <w:r>
        <w:t xml:space="preserve">"the slower the temporal decorrelation, i.e., the higher τ/tr, the higher the</w:t>
      </w:r>
      <w:r>
        <w:t xml:space="preserve"> </w:t>
      </w:r>
      <w:r>
        <w:t xml:space="preserve">importance of the long-term coherence samples" 一致）。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⚠ 复现发现 2：把 Eq. (6) 写成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exp(−|i−j|·τ/t_r)</w:t>
      </w:r>
      <w:r>
        <w:rPr>
          <w:b/>
          <w:bCs/>
        </w:rPr>
        <w:t xml:space="preserve"> </w:t>
      </w:r>
      <w:r>
        <w:rPr>
          <w:b/>
          <w:bCs/>
        </w:rPr>
        <w:t xml:space="preserve">会把趋势写反。</w:t>
      </w:r>
      <w:r>
        <w:t xml:space="preserve"> </w:t>
      </w:r>
      <w:r>
        <w:t xml:space="preserve">该写法下 τ/t_r 越大去相干越快，与 Sec. VIII 的结论矛盾，且会显著低估相干性</w:t>
      </w:r>
      <w:r>
        <w:t xml:space="preserve"> </w:t>
      </w:r>
      <w:r>
        <w:t xml:space="preserve">（τ/t_r = 2 时 lag-2 相干为 0.018 而非正确的 0.368），使合成数据远比论文"暗"。</w:t>
      </w:r>
      <w:r>
        <w:t xml:space="preserve"> </w:t>
      </w:r>
      <w:r>
        <w:t xml:space="preserve">本复现初版即犯此错，已按上式更正。正确取值为：</w:t>
      </w:r>
    </w:p>
    <w:tbl>
      <w:tblPr>
        <w:tblStyle w:val="Table"/>
        <w:tblW w:type="dxa" w:w="9638"/>
        <w:jc w:val="left"/>
        <w:tblInd w:w="720" w:type="dxa"/>
        <w:tblLook w:firstRow="1" w:lastRow="0" w:firstColumn="0" w:lastColumn="0" w:noHBand="0" w:noVBand="0" w:val="0020"/>
      </w:tblPr>
      <w:tblGrid>
        <w:gridCol w:w="1674"/>
        <w:gridCol w:w="2656"/>
        <w:gridCol w:w="2654"/>
        <w:gridCol w:w="2654"/>
      </w:tblGrid>
      <w:tr>
        <w:trPr>
          <w:tblHeader w:val="on"/>
        </w:trPr>
        <w:tc>
          <w:tcPr>
            <w:tcW w:w="1674" w:type="dxa"/>
          </w:tcPr>
          <w:p>
            <w:pPr>
              <w:pStyle w:val="Compact"/>
              <w:jc w:val="left"/>
            </w:pPr>
            <w:r>
              <w:t xml:space="preserve">τ/t_r</w:t>
            </w:r>
          </w:p>
        </w:tc>
        <w:tc>
          <w:tcPr>
            <w:tcW w:w="2656" w:type="dxa"/>
          </w:tcPr>
          <w:p>
            <w:pPr>
              <w:pStyle w:val="Compact"/>
              <w:jc w:val="left"/>
            </w:pPr>
            <w:r>
              <w:t xml:space="preserve">γ_t(lag 1)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γ_t(lag 2)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γ_t(lag 3)</w:t>
            </w:r>
          </w:p>
        </w:tc>
      </w:tr>
      <w:tr>
        <w:tc>
          <w:tcPr>
            <w:tcW w:w="1674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656" w:type="dxa"/>
          </w:tcPr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0.000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0.000</w:t>
            </w:r>
          </w:p>
        </w:tc>
      </w:tr>
      <w:tr>
        <w:tc>
          <w:tcPr>
            <w:tcW w:w="1674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656" w:type="dxa"/>
          </w:tcPr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0.135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0.050</w:t>
            </w:r>
          </w:p>
        </w:tc>
      </w:tr>
      <w:tr>
        <w:tc>
          <w:tcPr>
            <w:tcW w:w="1674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2656" w:type="dxa"/>
          </w:tcPr>
          <w:p>
            <w:pPr>
              <w:pStyle w:val="Compact"/>
              <w:jc w:val="left"/>
            </w:pPr>
            <w:r>
              <w:t xml:space="preserve">0.607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0.368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0.223</w:t>
            </w:r>
          </w:p>
        </w:tc>
      </w:tr>
      <w:tr>
        <w:tc>
          <w:tcPr>
            <w:tcW w:w="1674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2656" w:type="dxa"/>
          </w:tcPr>
          <w:p>
            <w:pPr>
              <w:pStyle w:val="Compact"/>
              <w:jc w:val="left"/>
            </w:pPr>
            <w:r>
              <w:t xml:space="preserve">0.717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0.513</w:t>
            </w:r>
          </w:p>
        </w:tc>
        <w:tc>
          <w:tcPr>
            <w:tcW w:w="2654" w:type="dxa"/>
          </w:tcPr>
          <w:p>
            <w:pPr>
              <w:pStyle w:val="Compact"/>
              <w:jc w:val="left"/>
            </w:pPr>
            <w:r>
              <w:t xml:space="preserve">0.368</w:t>
            </w:r>
          </w:p>
        </w:tc>
      </w:tr>
    </w:tbl>
    <w:p>
      <w:pPr>
        <w:numPr>
          <w:ilvl w:val="0"/>
          <w:numId w:val="1000"/>
        </w:numPr>
      </w:pPr>
      <w:r>
        <w:t xml:space="preserve">τ/t_r = 0 是"无限快去相干"的极限（表中确实列出 0），实现为极小比值，对任意非零</w:t>
      </w:r>
      <w:r>
        <w:t xml:space="preserve"> </w:t>
      </w:r>
      <w:r>
        <w:t xml:space="preserve">时间基线给出 γ_t ≈ 0。</w:t>
      </w:r>
    </w:p>
    <w:p>
      <w:pPr>
        <w:numPr>
          <w:ilvl w:val="0"/>
          <w:numId w:val="1003"/>
        </w:numPr>
      </w:pPr>
      <w:r>
        <w:t xml:space="preserve">几何去相干</w:t>
      </w:r>
      <w:r>
        <w:t xml:space="preserve"> </w:t>
      </w:r>
      <w:r>
        <w:rPr>
          <w:rStyle w:val="VerbatimChar"/>
        </w:rPr>
        <w:t xml:space="preserve">γ_b = 1 − Bn/Bc</w:t>
      </w:r>
      <w:r>
        <w:t xml:space="preserve">（Eq. (7)），</w:t>
      </w:r>
      <w:r>
        <w:rPr>
          <w:rStyle w:val="VerbatimChar"/>
        </w:rPr>
        <w:t xml:space="preserve">Bn/Bc ~ U[−0.15, 0.15]</w:t>
      </w:r>
      <w:r>
        <w:t xml:space="preserve">。</w:t>
      </w:r>
    </w:p>
    <w:p>
      <w:pPr>
        <w:numPr>
          <w:ilvl w:val="0"/>
          <w:numId w:val="1003"/>
        </w:numPr>
      </w:pPr>
      <w:r>
        <w:rPr>
          <w:rStyle w:val="VerbatimChar"/>
        </w:rPr>
        <w:t xml:space="preserve">γ₀ = 0.98</w:t>
      </w:r>
      <w:r>
        <w:t xml:space="preserve">（最大理论相干性）。</w:t>
      </w:r>
    </w:p>
    <w:p>
      <w:pPr>
        <w:pStyle w:val="FirstParagraph"/>
      </w:pPr>
      <w:r>
        <w:t xml:space="preserve">代码先恢复相关矩阵的单位对角线，再使用下三角 Cholesky 因子</w:t>
      </w:r>
      <w:r>
        <w:t xml:space="preserve"> </w:t>
      </w:r>
      <w:r>
        <w:rPr>
          <w:rStyle w:val="VerbatimChar"/>
        </w:rPr>
        <w:t xml:space="preserve">L</w:t>
      </w:r>
      <w:r>
        <w:t xml:space="preserve">，满足</w:t>
      </w:r>
      <w:r>
        <w:t xml:space="preserve"> </w:t>
      </w:r>
      <w:r>
        <w:rPr>
          <w:rStyle w:val="VerbatimChar"/>
        </w:rPr>
        <w:t xml:space="preserve">L @ L.T = Γ</w:t>
      </w:r>
      <w:r>
        <w:t xml:space="preserve">。由于 Γ 的对角线为 1，</w:t>
      </w:r>
      <w:r>
        <w:rPr>
          <w:rStyle w:val="VerbatimChar"/>
        </w:rPr>
        <w:t xml:space="preserve">L</w:t>
      </w:r>
      <w:r>
        <w:t xml:space="preserve"> </w:t>
      </w:r>
      <w:r>
        <w:t xml:space="preserve">的每一行平方和也为 1，因此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归一化为</w:t>
      </w:r>
      <w:r>
        <w:t xml:space="preserve"> </w:t>
      </w:r>
      <w:r>
        <w:rPr>
          <w:rStyle w:val="VerbatimChar"/>
        </w:rPr>
        <w:t xml:space="preserve">E|d|²=1</w:t>
      </w:r>
      <w:r>
        <w:t xml:space="preserve"> </w:t>
      </w:r>
      <w:r>
        <w:t xml:space="preserve">后同时满足论文的 coherence 和亮度标定；回归测试会直接</w:t>
      </w:r>
      <w:r>
        <w:t xml:space="preserve"> </w:t>
      </w:r>
      <w:r>
        <w:t xml:space="preserve">检查</w:t>
      </w:r>
      <w:r>
        <w:t xml:space="preserve"> </w:t>
      </w:r>
      <w:r>
        <w:rPr>
          <w:rStyle w:val="VerbatimChar"/>
        </w:rPr>
        <w:t xml:space="preserve">max|LLᵀ−Γ|</w:t>
      </w:r>
      <w:r>
        <w:t xml:space="preserve">。</w:t>
      </w:r>
    </w:p>
    <w:bookmarkEnd w:id="22"/>
    <w:bookmarkStart w:id="23" w:name="X3c5116a885181842b22de1f30bee635993dbe99"/>
    <w:p>
      <w:pPr>
        <w:pStyle w:val="Heading3"/>
      </w:pPr>
      <w:r>
        <w:t xml:space="preserve">2.3 幅度标定（Eq. 27-33）</w:t>
      </w:r>
    </w:p>
    <w:p>
      <w:pPr>
        <w:pStyle w:val="FirstParagraph"/>
      </w:pPr>
      <w:r>
        <w:t xml:space="preserve">复高斯过程在代码中显式除以</w:t>
      </w:r>
      <w:r>
        <w:t xml:space="preserve"> </w:t>
      </w:r>
      <w:r>
        <w:rPr>
          <w:rStyle w:val="VerbatimChar"/>
        </w:rPr>
        <w:t xml:space="preserve">sqrt(2)</w:t>
      </w:r>
      <w:r>
        <w:t xml:space="preserve">，所以</w:t>
      </w:r>
      <w:r>
        <w:t xml:space="preserve"> </w:t>
      </w:r>
      <w:r>
        <w:rPr>
          <w:rStyle w:val="VerbatimChar"/>
        </w:rPr>
        <w:t xml:space="preserve">E|d|²=1</w:t>
      </w:r>
      <w:r>
        <w:t xml:space="preserve">；相应的标定为</w:t>
      </w:r>
      <w:r>
        <w:t xml:space="preserve"> </w:t>
      </w:r>
      <w:r>
        <w:rPr>
          <w:rStyle w:val="VerbatimChar"/>
          <w:b/>
          <w:bCs/>
        </w:rPr>
        <w:t xml:space="preserve">ξ = sqrt(β0)</w:t>
      </w:r>
      <w:r>
        <w:t xml:space="preserve">，并且</w:t>
      </w:r>
      <w:r>
        <w:t xml:space="preserve"> </w:t>
      </w:r>
      <w:r>
        <w:rPr>
          <w:rStyle w:val="VerbatimChar"/>
        </w:rPr>
        <w:t xml:space="preserve">E|S|² = β0</w:t>
      </w:r>
      <w:r>
        <w:t xml:space="preserve">。四类场景的实测误差约为 0.02 dB。</w:t>
      </w:r>
    </w:p>
    <w:p>
      <w:pPr>
        <w:pStyle w:val="BlockText"/>
      </w:pPr>
      <w:r>
        <w:t xml:space="preserve">多段重标度（Eq. (31)-(32)）由此退化为逐像素的</w:t>
      </w:r>
      <w:r>
        <w:t xml:space="preserve"> </w:t>
      </w:r>
      <w:r>
        <w:rPr>
          <w:rStyle w:val="VerbatimChar"/>
        </w:rPr>
        <w:t xml:space="preserve">ξ_k = sqrt(β0_k)</w:t>
      </w:r>
      <w:r>
        <w:t xml:space="preserve">，与 Eq. (33)</w:t>
      </w:r>
      <w:r>
        <w:t xml:space="preserve"> </w:t>
      </w:r>
      <w:r>
        <w:t xml:space="preserve">的</w:t>
      </w:r>
      <w:r>
        <w:t xml:space="preserve"> </w:t>
      </w:r>
      <w:r>
        <w:rPr>
          <w:rStyle w:val="VerbatimChar"/>
        </w:rPr>
        <w:t xml:space="preserve">Ξ = ξ⁽⁰⁾[1, ξ⁽¹⁾, …, ξ⁽Ω⁻¹⁾]ᵀ</w:t>
      </w:r>
      <w:r>
        <w:t xml:space="preserve"> </w:t>
      </w:r>
      <w:r>
        <w:t xml:space="preserve">等价。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X5f697a1d83cdfdf7e4ed55b9704750af0525e9c"/>
    <w:p>
      <w:pPr>
        <w:pStyle w:val="Heading2"/>
      </w:pPr>
      <w:r>
        <w:t xml:space="preserve">3. 变化现象学与数据集（Sec. II-B, IV；Alg. 1）</w:t>
      </w:r>
    </w:p>
    <w:bookmarkStart w:id="25" w:name="Xefde151cb9b11ae8ff84089aced0d92094ceaa0"/>
    <w:p>
      <w:pPr>
        <w:pStyle w:val="Heading3"/>
      </w:pPr>
      <w:r>
        <w:t xml:space="preserve">3.1 四类变化（Sec. IV-A，Fig. 4）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791"/>
        <w:gridCol w:w="791"/>
        <w:gridCol w:w="3452"/>
        <w:gridCol w:w="1879"/>
        <w:gridCol w:w="2725"/>
      </w:tblGrid>
      <w:tr>
        <w:trPr>
          <w:tblHeader w:val="on"/>
        </w:trPr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W w:w="791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i_cp</w:t>
            </w:r>
          </w:p>
        </w:tc>
        <w:tc>
          <w:tcPr>
            <w:tcW w:w="3452" w:type="dxa"/>
          </w:tcPr>
          <w:p>
            <w:pPr>
              <w:pStyle w:val="Compact"/>
              <w:jc w:val="left"/>
            </w:pPr>
            <w:r>
              <w:t xml:space="preserve">现象学</w:t>
            </w:r>
          </w:p>
        </w:tc>
        <w:tc>
          <w:tcPr>
            <w:tcW w:w="1879" w:type="dxa"/>
          </w:tcPr>
          <w:p>
            <w:pPr>
              <w:pStyle w:val="Compact"/>
              <w:jc w:val="left"/>
            </w:pPr>
            <w:r>
              <w:t xml:space="preserve">相干矩阵结构</w:t>
            </w:r>
          </w:p>
        </w:tc>
        <w:tc>
          <w:tcPr>
            <w:tcW w:w="2725" w:type="dxa"/>
          </w:tcPr>
          <w:p>
            <w:pPr>
              <w:pStyle w:val="Compact"/>
              <w:jc w:val="left"/>
            </w:pPr>
            <w:r>
              <w:t xml:space="preserve">幅度</w:t>
            </w:r>
          </w:p>
        </w:tc>
      </w:tr>
      <w:tr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3452" w:type="dxa"/>
          </w:tcPr>
          <w:p>
            <w:pPr>
              <w:pStyle w:val="Compact"/>
              <w:jc w:val="left"/>
            </w:pPr>
            <w:r>
              <w:t xml:space="preserve">AC 始终相干 / NC 从不失相干</w:t>
            </w:r>
          </w:p>
        </w:tc>
        <w:tc>
          <w:tcPr>
            <w:tcW w:w="1879" w:type="dxa"/>
          </w:tcPr>
          <w:p>
            <w:pPr>
              <w:pStyle w:val="Compact"/>
              <w:jc w:val="left"/>
            </w:pPr>
            <w:r>
              <w:t xml:space="preserve">全 1 / 全 ε</w:t>
            </w:r>
          </w:p>
        </w:tc>
        <w:tc>
          <w:tcPr>
            <w:tcW w:w="2725" w:type="dxa"/>
          </w:tcPr>
          <w:p>
            <w:pPr>
              <w:pStyle w:val="Compact"/>
              <w:jc w:val="left"/>
            </w:pPr>
            <w:r>
              <w:t xml:space="preserve">不变</w:t>
            </w:r>
          </w:p>
        </w:tc>
      </w:tr>
      <w:tr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3452" w:type="dxa"/>
          </w:tcPr>
          <w:p>
            <w:pPr>
              <w:pStyle w:val="Compact"/>
              <w:jc w:val="left"/>
            </w:pPr>
            <w:r>
              <w:t xml:space="preserve">第 1 景后发生动态变化</w:t>
            </w:r>
          </w:p>
        </w:tc>
        <w:tc>
          <w:tcPr>
            <w:tcW w:w="1879" w:type="dxa"/>
          </w:tcPr>
          <w:p>
            <w:pPr>
              <w:pStyle w:val="Compact"/>
              <w:jc w:val="left"/>
            </w:pPr>
            <w:r>
              <w:t xml:space="preserve">十字或块</w:t>
            </w:r>
          </w:p>
        </w:tc>
        <w:tc>
          <w:tcPr>
            <w:tcW w:w="2725" w:type="dxa"/>
          </w:tcPr>
          <w:p>
            <w:pPr>
              <w:pStyle w:val="Compact"/>
              <w:jc w:val="left"/>
            </w:pPr>
            <w:r>
              <w:t xml:space="preserve">TC 不变 / DC 改变</w:t>
            </w:r>
          </w:p>
        </w:tc>
      </w:tr>
      <w:tr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3452" w:type="dxa"/>
          </w:tcPr>
          <w:p>
            <w:pPr>
              <w:pStyle w:val="Compact"/>
              <w:jc w:val="left"/>
            </w:pPr>
            <w:r>
              <w:t xml:space="preserve">第 2 景后</w:t>
            </w:r>
          </w:p>
        </w:tc>
        <w:tc>
          <w:tcPr>
            <w:tcW w:w="1879" w:type="dxa"/>
          </w:tcPr>
          <w:p>
            <w:pPr>
              <w:pStyle w:val="Compact"/>
              <w:jc w:val="left"/>
            </w:pPr>
            <w:r>
              <w:t xml:space="preserve">同上</w:t>
            </w:r>
          </w:p>
        </w:tc>
        <w:tc>
          <w:tcPr>
            <w:tcW w:w="2725" w:type="dxa"/>
          </w:tcPr>
          <w:p>
            <w:pPr>
              <w:pStyle w:val="Compact"/>
              <w:jc w:val="left"/>
            </w:pPr>
            <w:r>
              <w:t xml:space="preserve">同上</w:t>
            </w:r>
          </w:p>
        </w:tc>
      </w:tr>
      <w:tr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791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3452" w:type="dxa"/>
          </w:tcPr>
          <w:p>
            <w:pPr>
              <w:pStyle w:val="Compact"/>
              <w:jc w:val="left"/>
            </w:pPr>
            <w:r>
              <w:t xml:space="preserve">第 3 景后 +</w:t>
            </w:r>
            <w:r>
              <w:t xml:space="preserve"> </w:t>
            </w:r>
            <w:r>
              <w:rPr>
                <w:b/>
                <w:bCs/>
              </w:rPr>
              <w:t xml:space="preserve">ADCS</w:t>
            </w:r>
          </w:p>
        </w:tc>
        <w:tc>
          <w:tcPr>
            <w:tcW w:w="1879" w:type="dxa"/>
          </w:tcPr>
          <w:p>
            <w:pPr>
              <w:pStyle w:val="Compact"/>
              <w:jc w:val="left"/>
            </w:pPr>
            <w:r>
              <w:t xml:space="preserve">十字 / 独立岛</w:t>
            </w:r>
          </w:p>
        </w:tc>
        <w:tc>
          <w:tcPr>
            <w:tcW w:w="2725" w:type="dxa"/>
          </w:tcPr>
          <w:p>
            <w:pPr>
              <w:pStyle w:val="Compact"/>
              <w:jc w:val="left"/>
            </w:pPr>
            <w:r>
              <w:t xml:space="preserve">同上 / 岛屿自有 β⁰</w:t>
            </w:r>
          </w:p>
        </w:tc>
      </w:tr>
    </w:tbl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TC（暂态变化，Eq. (12)）</w:t>
      </w:r>
      <w:r>
        <w:t xml:space="preserve">：以变化时刻为中心的一"十字"低值，事件外的历元之间</w:t>
      </w:r>
      <w:r>
        <w:t xml:space="preserve"> </w:t>
      </w:r>
      <w:r>
        <w:t xml:space="preserve">仍保持相干（目标恢复）。Δα ≡ 0（Sec. II-B），即后向散射不变；连续多个事件历元</w:t>
      </w:r>
      <w:r>
        <w:t xml:space="preserve"> </w:t>
      </w:r>
      <w:r>
        <w:t xml:space="preserve">之间也保持低相干。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DC（确定性变化，Eq. (13)）</w:t>
      </w:r>
      <w:r>
        <w:t xml:space="preserve">：变化点之后形成新的雷达目标，与初始目标永久失相干，</w:t>
      </w:r>
      <w:r>
        <w:t xml:space="preserve"> </w:t>
      </w:r>
      <w:r>
        <w:t xml:space="preserve">呈</w:t>
      </w:r>
      <w:r>
        <w:rPr>
          <w:b/>
          <w:bCs/>
        </w:rPr>
        <w:t xml:space="preserve">块结构</w:t>
      </w:r>
      <w:r>
        <w:t xml:space="preserve">；Δα ≠ 0，雷达亮度按 Eq. (29) 变化。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ADCS</w:t>
      </w:r>
      <w:r>
        <w:t xml:space="preserve">：第 3、4 景之间的一段很短的独立相干"岛"，并拥有自己的 β⁰；随机生成器</w:t>
      </w:r>
      <w:r>
        <w:t xml:space="preserve"> </w:t>
      </w:r>
      <w:r>
        <w:t xml:space="preserve">会将其</w:t>
      </w:r>
      <w:r>
        <w:t xml:space="preserve"> </w:t>
      </w:r>
      <w:r>
        <w:rPr>
          <w:rStyle w:val="VerbatimChar"/>
        </w:rPr>
        <w:t xml:space="preserve">icp</w:t>
      </w:r>
      <w:r>
        <w:t xml:space="preserve"> </w:t>
      </w:r>
      <w:r>
        <w:t xml:space="preserve">固定为 2，避免原先 class-3 端点把两个岛屿景压到同一景的问题。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DC</w:t>
      </w:r>
      <w:r>
        <w:t xml:space="preserve"> </w:t>
      </w:r>
      <w:r>
        <w:t xml:space="preserve">的 β⁰ 按 Eq. (29) 实现：σ⁰ 保持原始入射角，只有</w:t>
      </w:r>
      <w:r>
        <w:t xml:space="preserve"> </w:t>
      </w:r>
      <w:r>
        <w:rPr>
          <w:rStyle w:val="VerbatimChar"/>
        </w:rPr>
        <w:t xml:space="preserve">sin(theta_L + Delta_alpha) / sin(theta_L)</w:t>
      </w:r>
      <w:r>
        <w:t xml:space="preserve"> </w:t>
      </w:r>
      <w:r>
        <w:t xml:space="preserve">改变局部雷达亮度。</w:t>
      </w:r>
    </w:p>
    <w:bookmarkEnd w:id="25"/>
    <w:bookmarkStart w:id="26" w:name="X45fc5a9991b379d8af3dd57e0b03d8aea010f9f"/>
    <w:p>
      <w:pPr>
        <w:pStyle w:val="Heading3"/>
      </w:pPr>
      <w:r>
        <w:t xml:space="preserve">3.2 时空变化模式（Sec. IV-B，Fig. 5）</w:t>
      </w:r>
    </w:p>
    <w:p>
      <w:pPr>
        <w:pStyle w:val="FirstParagraph"/>
      </w:pPr>
      <w:r>
        <w:t xml:space="preserve">恒定坡度 Δα 的"材料堆"（圆锥或金字塔）从角点或边进入被照射区域，含 4 种翻转</w:t>
      </w:r>
      <w:r>
        <w:t xml:space="preserve"> </w:t>
      </w:r>
      <w:r>
        <w:t xml:space="preserve">（模拟升/降轨等观测几何），并随时间平移（Fig. 5b/5c）。批量生成由</w:t>
      </w:r>
      <w:r>
        <w:t xml:space="preserve"> </w:t>
      </w:r>
      <w:r>
        <w:rPr>
          <w:rStyle w:val="VerbatimChar"/>
        </w:rPr>
        <w:t xml:space="preserve">sample_patterns</w:t>
      </w:r>
      <w:r>
        <w:t xml:space="preserve"> </w:t>
      </w:r>
      <w:r>
        <w:t xml:space="preserve">完成；平移现在采用零填充裁剪，</w:t>
      </w:r>
      <w:r>
        <w:t xml:space="preserve"> </w:t>
      </w:r>
      <w:r>
        <w:t xml:space="preserve">不会通过</w:t>
      </w:r>
      <w:r>
        <w:t xml:space="preserve"> </w:t>
      </w:r>
      <w:r>
        <w:rPr>
          <w:rStyle w:val="VerbatimChar"/>
        </w:rPr>
        <w:t xml:space="preserve">np.roll</w:t>
      </w:r>
      <w:r>
        <w:t xml:space="preserve"> </w:t>
      </w:r>
      <w:r>
        <w:t xml:space="preserve">从 patch 对侧周期性回绕；第</w:t>
      </w:r>
      <w:r>
        <w:t xml:space="preserve"> </w:t>
      </w:r>
      <w:r>
        <w:rPr>
          <w:rStyle w:val="VerbatimChar"/>
        </w:rPr>
        <w:t xml:space="preserve">i_cp</w:t>
      </w:r>
      <w:r>
        <w:t xml:space="preserve"> </w:t>
      </w:r>
      <w:r>
        <w:t xml:space="preserve">景达到完全进入状态。</w:t>
      </w:r>
    </w:p>
    <w:bookmarkEnd w:id="26"/>
    <w:bookmarkStart w:id="27" w:name="Xd5b6dd36feb54894c3497f4fe5f21396ad37069"/>
    <w:p>
      <w:pPr>
        <w:pStyle w:val="Heading3"/>
      </w:pPr>
      <w:r>
        <w:t xml:space="preserve">3.3 数据规模（Sec. IV-C）</w:t>
      </w:r>
    </w:p>
    <w:p>
      <w:pPr>
        <w:pStyle w:val="FirstParagraph"/>
      </w:pPr>
      <w:r>
        <w:t xml:space="preserve">论文：每个视数 L 生成</w:t>
      </w:r>
      <w:r>
        <w:t xml:space="preserve"> </w:t>
      </w:r>
      <w:r>
        <w:rPr>
          <w:b/>
          <w:bCs/>
        </w:rPr>
        <w:t xml:space="preserve">1,855,740</w:t>
      </w:r>
      <w:r>
        <w:t xml:space="preserve"> </w:t>
      </w:r>
      <w:r>
        <w:t xml:space="preserve">个 patch，共</w:t>
      </w:r>
      <w:r>
        <w:t xml:space="preserve"> </w:t>
      </w:r>
      <w:r>
        <w:rPr>
          <w:b/>
          <w:bCs/>
        </w:rPr>
        <w:t xml:space="preserve">7,422,960</w:t>
      </w:r>
      <w:r>
        <w:t xml:space="preserve"> </w:t>
      </w:r>
      <w:r>
        <w:t xml:space="preserve">个</w:t>
      </w:r>
      <w:r>
        <w:t xml:space="preserve"> </w:t>
      </w:r>
      <w:r>
        <w:rPr>
          <w:rStyle w:val="VerbatimChar"/>
        </w:rPr>
        <w:t xml:space="preserve">[128×128×10]</w:t>
      </w:r>
      <w:r>
        <w:t xml:space="preserve"> </w:t>
      </w:r>
      <w:r>
        <w:t xml:space="preserve">patch（10 = 4 幅度 + 6 相干）。</w:t>
      </w:r>
      <w:r>
        <w:t xml:space="preserve"> </w:t>
      </w:r>
      <w:r>
        <w:t xml:space="preserve">本复现在线生成（不落盘），规模按算力缩放，见 §5。</w:t>
      </w:r>
    </w:p>
    <w:p>
      <w:pPr>
        <w:pStyle w:val="BodyText"/>
      </w:pPr>
      <w:r>
        <w:t xml:space="preserve">自检（</w:t>
      </w:r>
      <w:r>
        <w:rPr>
          <w:rStyle w:val="VerbatimChar"/>
        </w:rPr>
        <w:t xml:space="preserve">python -m daninet.data.test_generator</w:t>
      </w:r>
      <w:r>
        <w:t xml:space="preserve">，6 项全部 PASS）：</w:t>
      </w:r>
    </w:p>
    <w:p>
      <w:pPr>
        <w:pStyle w:val="SourceCode"/>
      </w:pPr>
      <w:r>
        <w:rPr>
          <w:rStyle w:val="VerbatimChar"/>
        </w:rPr>
        <w:t xml:space="preserve">1. backscatter   Ulaby/TanDEM-β0 曲线有限且可计算</w:t>
      </w:r>
      <w:r>
        <w:br/>
      </w:r>
      <w:r>
        <w:rPr>
          <w:rStyle w:val="VerbatimChar"/>
        </w:rPr>
        <w:t xml:space="preserve">2. scaling       四种目标类型的 10log10(E|S|²/β0) 均在 ±0.05 dB 内</w:t>
      </w:r>
      <w:r>
        <w:br/>
      </w:r>
      <w:r>
        <w:rPr>
          <w:rStyle w:val="VerbatimChar"/>
        </w:rPr>
        <w:t xml:space="preserve">3. coherence     样本相干估计的有限视数偏置符合 sqrt(π/4L)，L=9 时低相干对偏置 +0.25</w:t>
      </w:r>
      <w:r>
        <w:br/>
      </w:r>
      <w:r>
        <w:rPr>
          <w:rStyle w:val="VerbatimChar"/>
        </w:rPr>
        <w:t xml:space="preserve">4. signatures    AC 单块 / NC 全去相干 / TC 十字 / DC 块 / ADCS 独立岛，全部复现</w:t>
      </w:r>
      <w:r>
        <w:br/>
      </w:r>
      <w:r>
        <w:rPr>
          <w:rStyle w:val="VerbatimChar"/>
        </w:rPr>
        <w:t xml:space="preserve">5. timing        patch 形状、[0,1] 归一化、空间标签</w:t>
      </w:r>
      <w:r>
        <w:br/>
      </w:r>
      <w:r>
        <w:rPr>
          <w:rStyle w:val="VerbatimChar"/>
        </w:rPr>
        <w:t xml:space="preserve">6. regressions   Cholesky、连续 TC、随机 ADCS、像素级标签回归检查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472d78b0a0392f3af01460b0ad1a8d0dd926a74"/>
    <w:p>
      <w:pPr>
        <w:pStyle w:val="Heading2"/>
      </w:pPr>
      <w:r>
        <w:t xml:space="preserve">4. 网络与训练（Sec. V）</w:t>
      </w:r>
    </w:p>
    <w:bookmarkStart w:id="29" w:name="Xe8fdf141520ef27de30de15efa053f072f8c7dd"/>
    <w:p>
      <w:pPr>
        <w:pStyle w:val="Heading3"/>
      </w:pPr>
      <w:r>
        <w:t xml:space="preserve">4.1 DANI-NET（Sec. V-A，Fig. 7）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输入块</w:t>
      </w:r>
      <w:r>
        <w:t xml:space="preserve">：两个 1×1 卷积把 10 个输入通道逐步混到 128 个特征图，各接 BN + ReLU，</w:t>
      </w:r>
      <w:r>
        <w:t xml:space="preserve"> </w:t>
      </w:r>
      <w:r>
        <w:t xml:space="preserve">卷积前做 same padding 保持尺寸。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隐藏块</w:t>
      </w:r>
      <w:r>
        <w:t xml:space="preserve">：</w:t>
      </w:r>
      <w:r>
        <w:rPr>
          <w:rStyle w:val="VerbatimChar"/>
        </w:rPr>
        <w:t xml:space="preserve">n</w:t>
      </w:r>
      <w:r>
        <w:t xml:space="preserve"> </w:t>
      </w:r>
      <w:r>
        <w:t xml:space="preserve">个 3×3、128 通道卷积 + BN + ReLU，</w:t>
      </w:r>
      <w:r>
        <w:rPr>
          <w:b/>
          <w:bCs/>
        </w:rPr>
        <w:t xml:space="preserve">完全不含池化</w:t>
      </w:r>
      <w:r>
        <w:t xml:space="preserve">，全分辨率。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输出块</w:t>
      </w:r>
      <w:r>
        <w:t xml:space="preserve">：1×1 卷积 + BN + dropout，再 1×1 卷积降到 4 类，softmax。</w:t>
      </w:r>
    </w:p>
    <w:p>
      <w:pPr>
        <w:pStyle w:val="FirstParagraph"/>
      </w:pPr>
      <w:r>
        <w:t xml:space="preserve">可训练参数量 vs. 论文 Table IV：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3183"/>
        <w:gridCol w:w="1980"/>
        <w:gridCol w:w="1980"/>
        <w:gridCol w:w="2495"/>
      </w:tblGrid>
      <w:tr>
        <w:trPr>
          <w:tblHeader w:val="on"/>
        </w:trPr>
        <w:tc>
          <w:tcPr>
            <w:tcW w:w="3183" w:type="dxa"/>
          </w:tcPr>
          <w:p>
            <w:pPr>
              <w:pStyle w:val="Compact"/>
              <w:jc w:val="left"/>
            </w:pPr>
            <w:r>
              <w:t xml:space="preserve">深度（隐藏块数）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本复现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Table IV</w:t>
            </w:r>
          </w:p>
        </w:tc>
        <w:tc>
          <w:tcPr>
            <w:tcW w:w="2495" w:type="dxa"/>
          </w:tcPr>
          <w:p>
            <w:pPr>
              <w:pStyle w:val="Compact"/>
              <w:jc w:val="left"/>
            </w:pPr>
            <w:r>
              <w:t xml:space="preserve">偏差</w:t>
            </w:r>
          </w:p>
        </w:tc>
      </w:tr>
      <w:tr>
        <w:tc>
          <w:tcPr>
            <w:tcW w:w="3183" w:type="dxa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759,124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759,044</w:t>
            </w:r>
          </w:p>
        </w:tc>
        <w:tc>
          <w:tcPr>
            <w:tcW w:w="2495" w:type="dxa"/>
          </w:tcPr>
          <w:p>
            <w:pPr>
              <w:pStyle w:val="Compact"/>
              <w:jc w:val="left"/>
            </w:pPr>
            <w:r>
              <w:t xml:space="preserve">+80 (0.01 %)</w:t>
            </w:r>
          </w:p>
        </w:tc>
      </w:tr>
      <w:tr>
        <w:tc>
          <w:tcPr>
            <w:tcW w:w="3183" w:type="dxa"/>
          </w:tcPr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1,498,324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1,496,452</w:t>
            </w:r>
          </w:p>
        </w:tc>
        <w:tc>
          <w:tcPr>
            <w:tcW w:w="2495" w:type="dxa"/>
          </w:tcPr>
          <w:p>
            <w:pPr>
              <w:pStyle w:val="Compact"/>
              <w:jc w:val="left"/>
            </w:pPr>
            <w:r>
              <w:t xml:space="preserve">+1,872</w:t>
            </w:r>
          </w:p>
        </w:tc>
      </w:tr>
      <w:tr>
        <w:tc>
          <w:tcPr>
            <w:tcW w:w="3183" w:type="dxa"/>
          </w:tcPr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2,237,524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2,235,652</w:t>
            </w:r>
          </w:p>
        </w:tc>
        <w:tc>
          <w:tcPr>
            <w:tcW w:w="2495" w:type="dxa"/>
          </w:tcPr>
          <w:p>
            <w:pPr>
              <w:pStyle w:val="Compact"/>
              <w:jc w:val="left"/>
            </w:pPr>
            <w:r>
              <w:t xml:space="preserve">+1,872</w:t>
            </w:r>
          </w:p>
        </w:tc>
      </w:tr>
      <w:tr>
        <w:tc>
          <w:tcPr>
            <w:tcW w:w="3183" w:type="dx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2,976,724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2,974,852</w:t>
            </w:r>
          </w:p>
        </w:tc>
        <w:tc>
          <w:tcPr>
            <w:tcW w:w="2495" w:type="dxa"/>
          </w:tcPr>
          <w:p>
            <w:pPr>
              <w:pStyle w:val="Compact"/>
              <w:jc w:val="left"/>
            </w:pPr>
            <w:r>
              <w:t xml:space="preserve">+1,872</w:t>
            </w:r>
          </w:p>
        </w:tc>
      </w:tr>
      <w:tr>
        <w:tc>
          <w:tcPr>
            <w:tcW w:w="3183" w:type="dxa"/>
          </w:tcPr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3,715,924</w:t>
            </w:r>
          </w:p>
        </w:tc>
        <w:tc>
          <w:tcPr>
            <w:tcW w:w="1980" w:type="dxa"/>
          </w:tcPr>
          <w:p>
            <w:pPr>
              <w:pStyle w:val="Compact"/>
              <w:jc w:val="left"/>
            </w:pPr>
            <w:r>
              <w:t xml:space="preserve">3,714,052</w:t>
            </w:r>
          </w:p>
        </w:tc>
        <w:tc>
          <w:tcPr>
            <w:tcW w:w="2495" w:type="dxa"/>
          </w:tcPr>
          <w:p>
            <w:pPr>
              <w:pStyle w:val="Compact"/>
              <w:jc w:val="left"/>
            </w:pPr>
            <w:r>
              <w:t xml:space="preserve">+1,872</w:t>
            </w:r>
          </w:p>
        </w:tc>
      </w:tr>
    </w:tbl>
    <w:p>
      <w:pPr>
        <w:pStyle w:val="BlockText"/>
      </w:pPr>
      <w:r>
        <w:rPr>
          <w:b/>
          <w:bCs/>
        </w:rPr>
        <w:t xml:space="preserve">⚠ 复现发现 6：Table IV 自身不自洽。</w:t>
      </w:r>
      <w:r>
        <w:t xml:space="preserve"> </w:t>
      </w:r>
      <w:r>
        <w:t xml:space="preserve">表中 5→10 块的增量是 1,496,452 − 759,044 =</w:t>
      </w:r>
      <w:r>
        <w:t xml:space="preserve"> </w:t>
      </w:r>
      <w:r>
        <w:rPr>
          <w:b/>
          <w:bCs/>
        </w:rPr>
        <w:t xml:space="preserve">737,408</w:t>
      </w:r>
      <w:r>
        <w:t xml:space="preserve">，不能被 5 整除；</w:t>
      </w:r>
      <w:r>
        <w:t xml:space="preserve"> </w:t>
      </w:r>
      <w:r>
        <w:t xml:space="preserve">而 10→15→20→25 的增量恒为</w:t>
      </w:r>
      <w:r>
        <w:t xml:space="preserve"> </w:t>
      </w:r>
      <w:r>
        <w:rPr>
          <w:b/>
          <w:bCs/>
        </w:rPr>
        <w:t xml:space="preserve">739,200 = 5 × 147,840</w:t>
      </w:r>
      <w:r>
        <w:t xml:space="preserve">。</w:t>
      </w:r>
      <w:r>
        <w:t xml:space="preserve"> </w:t>
      </w:r>
      <w:r>
        <w:t xml:space="preserve">一个 3×3、128→128 卷积（含偏置 147,584）+ BN（256）=</w:t>
      </w:r>
      <w:r>
        <w:t xml:space="preserve"> </w:t>
      </w:r>
      <w:r>
        <w:rPr>
          <w:b/>
          <w:bCs/>
        </w:rPr>
        <w:t xml:space="preserve">147,840</w:t>
      </w:r>
      <w:r>
        <w:t xml:space="preserve">，与恒定增量完全一致，</w:t>
      </w:r>
      <w:r>
        <w:t xml:space="preserve"> </w:t>
      </w:r>
      <w:r>
        <w:t xml:space="preserve">这独立验证了隐藏块的定义；据此反推，Table IV 中 5 块那一行应比线性外推值小约 1,792。</w:t>
      </w:r>
      <w:r>
        <w:t xml:space="preserve"> </w:t>
      </w:r>
      <w:r>
        <w:t xml:space="preserve">本复现的架构精确复现了"每 5 块 +739,200"的增量规律。</w:t>
      </w:r>
    </w:p>
    <w:bookmarkEnd w:id="29"/>
    <w:bookmarkStart w:id="30" w:name="X8455e9c45509ea213b61b492db90ac76598fba1"/>
    <w:p>
      <w:pPr>
        <w:pStyle w:val="Heading3"/>
      </w:pPr>
      <w:r>
        <w:t xml:space="preserve">4.2 训练策略（Sec. V-B）</w:t>
      </w:r>
    </w:p>
    <w:p>
      <w:pPr>
        <w:pStyle w:val="Compact"/>
        <w:numPr>
          <w:ilvl w:val="0"/>
          <w:numId w:val="1006"/>
        </w:numPr>
      </w:pPr>
      <w:r>
        <w:t xml:space="preserve">损失：Categorical Cross-Entropy（Eq. (34)），实现为对 logits 的</w:t>
      </w:r>
      <w:r>
        <w:t xml:space="preserve"> </w:t>
      </w:r>
      <w:r>
        <w:rPr>
          <w:rStyle w:val="VerbatimChar"/>
        </w:rPr>
        <w:t xml:space="preserve">cross_entropy</w:t>
      </w:r>
      <w:r>
        <w:t xml:space="preserve"> </w:t>
      </w:r>
      <w:r>
        <w:t xml:space="preserve">（softmax + CCE，数值等价）。</w:t>
      </w:r>
    </w:p>
    <w:p>
      <w:pPr>
        <w:pStyle w:val="Compact"/>
        <w:numPr>
          <w:ilvl w:val="0"/>
          <w:numId w:val="1006"/>
        </w:numPr>
      </w:pPr>
      <w:r>
        <w:t xml:space="preserve">优化器：Adam，学习率按 Eq. (35)：</w:t>
      </w:r>
      <w:r>
        <w:rPr>
          <w:rStyle w:val="VerbatimChar"/>
        </w:rPr>
        <w:t xml:space="preserve">1e-4 (≤14 epoch) → 1e-5 (15-24) → 1e-6 (&gt;24)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t xml:space="preserve">早停：验证损失 16 个 epoch 无改善则停止。</w:t>
      </w:r>
    </w:p>
    <w:p>
      <w:pPr>
        <w:pStyle w:val="Compact"/>
        <w:numPr>
          <w:ilvl w:val="0"/>
          <w:numId w:val="1006"/>
        </w:numPr>
      </w:pPr>
      <w:r>
        <w:t xml:space="preserve">输入归一化到 [0,1]：相干本身在 [0,1]，幅度按全局最大/最小后向散射归一化（Sec. V-B）。</w:t>
      </w:r>
    </w:p>
    <w:p>
      <w:pPr>
        <w:pStyle w:val="Compact"/>
        <w:numPr>
          <w:ilvl w:val="0"/>
          <w:numId w:val="1006"/>
        </w:numPr>
      </w:pPr>
      <w:r>
        <w:t xml:space="preserve">数据划分：80 % 训练 / 20 % 验证（Sec. V-B），测试集独立生成（Sec. V-D，</w:t>
      </w:r>
      <w:r>
        <w:t xml:space="preserve"> </w:t>
      </w:r>
      <w:r>
        <w:rPr>
          <w:rStyle w:val="VerbatimChar"/>
        </w:rPr>
        <w:t xml:space="preserve">L ~ U[9,16,25,36,49,121]</w:t>
      </w:r>
      <w:r>
        <w:t xml:space="preserve">，其中</w:t>
      </w:r>
      <w:r>
        <w:t xml:space="preserve"> </w:t>
      </w:r>
      <w:r>
        <w:rPr>
          <w:b/>
          <w:bCs/>
        </w:rPr>
        <w:t xml:space="preserve">L = 25、49 训练时从未见过</w:t>
      </w:r>
      <w:r>
        <w:t xml:space="preserve">）。</w:t>
      </w:r>
    </w:p>
    <w:bookmarkEnd w:id="30"/>
    <w:bookmarkStart w:id="31" w:name="Xb48e63a6d09856a8c41f6d80fab2dfaae0af2ea"/>
    <w:p>
      <w:pPr>
        <w:pStyle w:val="Heading3"/>
      </w:pPr>
      <w:r>
        <w:t xml:space="preserve">4.3 工程实现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在线生成</w:t>
      </w:r>
      <w:r>
        <w:t xml:space="preserve">：patch 由进程池（6 worker，实测 ~264 patch/s）并行生成，</w:t>
      </w:r>
      <w:r>
        <w:t xml:space="preserve"> </w:t>
      </w:r>
      <w:r>
        <w:t xml:space="preserve">与 GPU 训练重叠；每个 batch 用固定 seed（</w:t>
      </w:r>
      <w:r>
        <w:rPr>
          <w:rStyle w:val="VerbatimChar"/>
        </w:rPr>
        <w:t xml:space="preserve">base + k</w:t>
      </w:r>
      <w:r>
        <w:t xml:space="preserve">），保证</w:t>
      </w:r>
      <w:r>
        <w:rPr>
          <w:b/>
          <w:bCs/>
        </w:rPr>
        <w:t xml:space="preserve">完全可复现</w:t>
      </w:r>
      <w:r>
        <w:t xml:space="preserve">，</w:t>
      </w:r>
      <w:r>
        <w:t xml:space="preserve"> </w:t>
      </w:r>
      <w:r>
        <w:t xml:space="preserve">验证集每个 epoch 完全一致。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混合精度</w:t>
      </w:r>
      <w:r>
        <w:t xml:space="preserve">：</w:t>
      </w:r>
      <w:r>
        <w:rPr>
          <w:rStyle w:val="VerbatimChar"/>
        </w:rPr>
        <w:t xml:space="preserve">torch.amp</w:t>
      </w:r>
      <w:r>
        <w:t xml:space="preserve"> </w:t>
      </w:r>
      <w:r>
        <w:t xml:space="preserve">+ GradScaler。</w:t>
      </w:r>
    </w:p>
    <w:p>
      <w:pPr>
        <w:pStyle w:val="Compact"/>
        <w:numPr>
          <w:ilvl w:val="0"/>
          <w:numId w:val="1007"/>
        </w:numPr>
      </w:pPr>
      <w:r>
        <w:t xml:space="preserve">设备吞吐：batch 16 时 ~167 patch/s，显存峰值 ~1.0 GB。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a2dc51a16543025ea464c0a1ed376d75f83f265"/>
    <w:p>
      <w:pPr>
        <w:pStyle w:val="Heading2"/>
      </w:pPr>
      <w:r>
        <w:t xml:space="preserve">5. 复现规模与论文的差异（重要）</w:t>
      </w:r>
    </w:p>
    <w:p>
      <w:pPr>
        <w:pStyle w:val="FirstParagraph"/>
      </w:pPr>
      <w:r>
        <w:t xml:space="preserve">论文的算力规模（单卡 V100、250 epoch、每 epoch 约 15 min、共约 60 h、</w:t>
      </w:r>
      <w:r>
        <w:t xml:space="preserve"> </w:t>
      </w:r>
      <w:r>
        <w:t xml:space="preserve">每类训练集 1.48 M patch）无法在单台笔记本 GPU 上原样重跑。本复现</w:t>
      </w:r>
      <w:r>
        <w:rPr>
          <w:b/>
          <w:bCs/>
        </w:rPr>
        <w:t xml:space="preserve">保持算法、</w:t>
      </w:r>
      <w:r>
        <w:rPr>
          <w:b/>
          <w:bCs/>
        </w:rPr>
        <w:t xml:space="preserve"> </w:t>
      </w:r>
      <w:r>
        <w:rPr>
          <w:b/>
          <w:bCs/>
        </w:rPr>
        <w:t xml:space="preserve">物理与评估口径完全一致</w:t>
      </w:r>
      <w:r>
        <w:t xml:space="preserve">，只缩放数据量与 epoch 数：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2550"/>
        <w:gridCol w:w="3545"/>
        <w:gridCol w:w="3543"/>
      </w:tblGrid>
      <w:tr>
        <w:trPr>
          <w:tblHeader w:val="on"/>
        </w:trP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论文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本复现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patch 尺寸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128×128×10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导频 patch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16×16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同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训练 patch / epoch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~1.48 M（基线）/ 3.05 M（增强）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10,000（全量可运行版）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epoch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250（早停 16）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15（全量可运行版）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batch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180 组 × ~1000 patch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16 patch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数据来源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预生成 742 万 patch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在线生成（不落盘）</w:t>
            </w:r>
          </w:p>
        </w:tc>
      </w:tr>
      <w:tr>
        <w:tc>
          <w:tcPr>
            <w:tcW w:w="2550" w:type="dxa"/>
          </w:tcPr>
          <w:p>
            <w:pPr>
              <w:pStyle w:val="Compact"/>
              <w:jc w:val="left"/>
            </w:pPr>
            <w:r>
              <w:t xml:space="preserve">硬件</w:t>
            </w:r>
          </w:p>
        </w:tc>
        <w:tc>
          <w:tcPr>
            <w:tcW w:w="3545" w:type="dxa"/>
          </w:tcPr>
          <w:p>
            <w:pPr>
              <w:pStyle w:val="Compact"/>
              <w:jc w:val="left"/>
            </w:pPr>
            <w:r>
              <w:t xml:space="preserve">NVIDIA V100</w:t>
            </w:r>
          </w:p>
        </w:tc>
        <w:tc>
          <w:tcPr>
            <w:tcW w:w="3543" w:type="dxa"/>
          </w:tcPr>
          <w:p>
            <w:pPr>
              <w:pStyle w:val="Compact"/>
              <w:jc w:val="left"/>
            </w:pPr>
            <w:r>
              <w:t xml:space="preserve">RTX 4060 Laptop 8 GB；实际训练约 28.1 分钟</w:t>
            </w:r>
          </w:p>
        </w:tc>
      </w:tr>
    </w:tbl>
    <w:p>
      <w:pPr>
        <w:pStyle w:val="BodyText"/>
      </w:pPr>
      <w:r>
        <w:t xml:space="preserve">因此本文的训练结果用于</w:t>
      </w:r>
      <w:r>
        <w:rPr>
          <w:b/>
          <w:bCs/>
        </w:rPr>
        <w:t xml:space="preserve">验证流程正确性与定性规律</w:t>
      </w:r>
      <w:r>
        <w:t xml:space="preserve">（类别可分性、L 泛化趋势、</w:t>
      </w:r>
      <w:r>
        <w:t xml:space="preserve"> </w:t>
      </w:r>
      <w:r>
        <w:t xml:space="preserve">混淆矩阵结构），</w:t>
      </w:r>
      <w:r>
        <w:rPr>
          <w:b/>
          <w:bCs/>
        </w:rPr>
        <w:t xml:space="preserve">不用于复现论文的具体精度数值</w:t>
      </w:r>
      <w:r>
        <w:t xml:space="preserve">。修复后的 augmented 运行使用</w:t>
      </w:r>
      <w:r>
        <w:t xml:space="preserve"> </w:t>
      </w:r>
      <w:r>
        <w:t xml:space="preserve">change-focused 采样来覆盖论文强调的 class 1/2 变化样本；原始论文的完整</w:t>
      </w:r>
      <w:r>
        <w:t xml:space="preserve"> </w:t>
      </w:r>
      <w:r>
        <w:t xml:space="preserve">“一半基线 + 一半变化增强”规模仍需按论文算力另行运行。</w:t>
      </w:r>
    </w:p>
    <w:p>
      <w:r>
        <w:pict>
          <v:rect style="width:0;height:1.5pt" o:hralign="center" o:hrstd="t" o:hr="t"/>
        </w:pict>
      </w:r>
    </w:p>
    <w:bookmarkEnd w:id="33"/>
    <w:bookmarkStart w:id="34" w:name="Xca6c025c0b3a96ead8ceb1265f763764e9213a7"/>
    <w:p>
      <w:pPr>
        <w:pStyle w:val="Heading2"/>
      </w:pPr>
      <w:r>
        <w:t xml:space="preserve">6. 修复后全量运行结果</w:t>
      </w:r>
    </w:p>
    <w:p>
      <w:pPr>
        <w:pStyle w:val="FirstParagraph"/>
      </w:pPr>
      <w:r>
        <w:t xml:space="preserve">最终全量可运行训练位于</w:t>
      </w:r>
      <w:r>
        <w:t xml:space="preserve"> </w:t>
      </w:r>
      <w:r>
        <w:rPr>
          <w:rStyle w:val="VerbatimChar"/>
        </w:rPr>
        <w:t xml:space="preserve">runs/final_augmented_v2/</w:t>
      </w:r>
      <w:r>
        <w:t xml:space="preserve">，使用最终修复后的代码和 augmented 配置：15 epoch、每 epoch 10,000 个 patch、batch 16、训练视数</w:t>
      </w:r>
      <w:r>
        <w:t xml:space="preserve"> </w:t>
      </w:r>
      <w:r>
        <w:rPr>
          <w:rStyle w:val="VerbatimChar"/>
        </w:rPr>
        <w:t xml:space="preserve">[9,16,36,121]</w:t>
      </w:r>
      <w:r>
        <w:t xml:space="preserve">，测试视数</w:t>
      </w:r>
      <w:r>
        <w:t xml:space="preserve"> </w:t>
      </w:r>
      <w:r>
        <w:rPr>
          <w:rStyle w:val="VerbatimChar"/>
        </w:rPr>
        <w:t xml:space="preserve">[9,16,25,36,49,121]</w:t>
      </w:r>
      <w:r>
        <w:t xml:space="preserve">。实际训练耗时约 28.1 分钟，最佳 epoch 为 15。现行最好结果（</w:t>
      </w:r>
      <w:r>
        <w:rPr>
          <w:rStyle w:val="VerbatimChar"/>
        </w:rPr>
        <w:t xml:space="preserve">a3_b10_p200k_e60</w:t>
      </w:r>
      <w:r>
        <w:t xml:space="preserve">，L=121 F1_w 0.8241）见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§2.1；</w:t>
      </w:r>
      <w:r>
        <w:rPr>
          <w:rStyle w:val="VerbatimChar"/>
        </w:rPr>
        <w:t xml:space="preserve">out/summary.md</w:t>
      </w:r>
      <w:r>
        <w:t xml:space="preserve"> </w:t>
      </w:r>
      <w:r>
        <w:t xml:space="preserve">已归档到</w:t>
      </w:r>
      <w:r>
        <w:t xml:space="preserve"> </w:t>
      </w:r>
      <w:r>
        <w:rPr>
          <w:rStyle w:val="VerbatimChar"/>
        </w:rPr>
        <w:t xml:space="preserve">achieve/assets/2026-10-20/</w:t>
      </w:r>
      <w:r>
        <w:t xml:space="preserve">。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1214"/>
        <w:gridCol w:w="1928"/>
        <w:gridCol w:w="1072"/>
        <w:gridCol w:w="1356"/>
        <w:gridCol w:w="1356"/>
        <w:gridCol w:w="1356"/>
        <w:gridCol w:w="1356"/>
      </w:tblGrid>
      <w:tr>
        <w:trPr>
          <w:tblHeader w:val="on"/>
        </w:trPr>
        <w:tc>
          <w:tcPr>
            <w:tcW w:w="1214" w:type="dxa"/>
          </w:tcPr>
          <w:p>
            <w:pPr>
              <w:pStyle w:val="Compact"/>
              <w:jc w:val="right"/>
            </w:pPr>
            <w:r>
              <w:t xml:space="preserve">测试 L</w:t>
            </w:r>
          </w:p>
        </w:tc>
        <w:tc>
          <w:tcPr>
            <w:tcW w:w="1928" w:type="dxa"/>
          </w:tcPr>
          <w:p>
            <w:pPr>
              <w:pStyle w:val="Compact"/>
              <w:jc w:val="right"/>
            </w:pPr>
            <w:r>
              <w:t xml:space="preserve">weighted F1</w:t>
            </w:r>
          </w:p>
        </w:tc>
        <w:tc>
          <w:tcPr>
            <w:tcW w:w="1072" w:type="dxa"/>
          </w:tcPr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p_D(c0)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p_D(c1)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p_D(c2)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p_D(c3)</w:t>
            </w:r>
          </w:p>
        </w:tc>
      </w:tr>
      <w:tr>
        <w:tc>
          <w:tcPr>
            <w:tcW w:w="1214" w:type="dxa"/>
          </w:tcPr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>
            <w:tcW w:w="1928" w:type="dxa"/>
          </w:tcPr>
          <w:p>
            <w:pPr>
              <w:pStyle w:val="Compact"/>
              <w:jc w:val="right"/>
            </w:pPr>
            <w:r>
              <w:t xml:space="preserve">0.702</w:t>
            </w:r>
          </w:p>
        </w:tc>
        <w:tc>
          <w:tcPr>
            <w:tcW w:w="1072" w:type="dxa"/>
          </w:tcPr>
          <w:p>
            <w:pPr>
              <w:pStyle w:val="Compact"/>
              <w:jc w:val="right"/>
            </w:pPr>
            <w:r>
              <w:t xml:space="preserve">0.704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0.817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0.603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0.663</w:t>
            </w:r>
          </w:p>
        </w:tc>
      </w:tr>
      <w:tr>
        <w:tc>
          <w:tcPr>
            <w:tcW w:w="1214" w:type="dxa"/>
          </w:tcPr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>
            <w:tcW w:w="1928" w:type="dxa"/>
          </w:tcPr>
          <w:p>
            <w:pPr>
              <w:pStyle w:val="Compact"/>
              <w:jc w:val="right"/>
            </w:pPr>
            <w:r>
              <w:t xml:space="preserve">0.718</w:t>
            </w:r>
          </w:p>
        </w:tc>
        <w:tc>
          <w:tcPr>
            <w:tcW w:w="1072" w:type="dxa"/>
          </w:tcPr>
          <w:p>
            <w:pPr>
              <w:pStyle w:val="Compact"/>
              <w:jc w:val="right"/>
            </w:pPr>
            <w:r>
              <w:t xml:space="preserve">0.721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0.842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0.566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0.616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0.678</w:t>
            </w:r>
          </w:p>
        </w:tc>
      </w:tr>
      <w:tr>
        <w:tc>
          <w:tcPr>
            <w:tcW w:w="1214" w:type="dxa"/>
          </w:tcPr>
          <w:p>
            <w:pPr>
              <w:pStyle w:val="Compact"/>
              <w:jc w:val="right"/>
            </w:pPr>
            <w:r>
              <w:t xml:space="preserve">25*</w:t>
            </w:r>
          </w:p>
        </w:tc>
        <w:tc>
          <w:tcPr>
            <w:tcW w:w="1928" w:type="dxa"/>
          </w:tcPr>
          <w:p>
            <w:pPr>
              <w:pStyle w:val="Compact"/>
              <w:jc w:val="right"/>
            </w:pPr>
            <w:r>
              <w:t xml:space="preserve">0.729</w:t>
            </w:r>
          </w:p>
        </w:tc>
        <w:tc>
          <w:tcPr>
            <w:tcW w:w="1072" w:type="dxa"/>
          </w:tcPr>
          <w:p>
            <w:pPr>
              <w:pStyle w:val="Compact"/>
              <w:jc w:val="right"/>
            </w:pPr>
            <w:r>
              <w:t xml:space="preserve">0.732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0.853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0.572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0.630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0.693</w:t>
            </w:r>
          </w:p>
        </w:tc>
      </w:tr>
      <w:tr>
        <w:tc>
          <w:tcPr>
            <w:tcW w:w="1214" w:type="dxa"/>
          </w:tcPr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>
            <w:tcW w:w="1928" w:type="dxa"/>
          </w:tcPr>
          <w:p>
            <w:pPr>
              <w:pStyle w:val="Compact"/>
              <w:jc w:val="right"/>
            </w:pPr>
            <w:r>
              <w:t xml:space="preserve">0.739</w:t>
            </w:r>
          </w:p>
        </w:tc>
        <w:tc>
          <w:tcPr>
            <w:tcW w:w="1072" w:type="dxa"/>
          </w:tcPr>
          <w:p>
            <w:pPr>
              <w:pStyle w:val="Compact"/>
              <w:jc w:val="right"/>
            </w:pPr>
            <w:r>
              <w:t xml:space="preserve">0.742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0.863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0.575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0.642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0.705</w:t>
            </w:r>
          </w:p>
        </w:tc>
      </w:tr>
      <w:tr>
        <w:tc>
          <w:tcPr>
            <w:tcW w:w="1214" w:type="dxa"/>
          </w:tcPr>
          <w:p>
            <w:pPr>
              <w:pStyle w:val="Compact"/>
              <w:jc w:val="right"/>
            </w:pPr>
            <w:r>
              <w:t xml:space="preserve">49*</w:t>
            </w:r>
          </w:p>
        </w:tc>
        <w:tc>
          <w:tcPr>
            <w:tcW w:w="1928" w:type="dxa"/>
          </w:tcPr>
          <w:p>
            <w:pPr>
              <w:pStyle w:val="Compact"/>
              <w:jc w:val="right"/>
            </w:pPr>
            <w:r>
              <w:t xml:space="preserve">0.747</w:t>
            </w:r>
          </w:p>
        </w:tc>
        <w:tc>
          <w:tcPr>
            <w:tcW w:w="1072" w:type="dxa"/>
          </w:tcPr>
          <w:p>
            <w:pPr>
              <w:pStyle w:val="Compact"/>
              <w:jc w:val="right"/>
            </w:pPr>
            <w:r>
              <w:t xml:space="preserve">0.750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0.871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0.576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0.654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0.718</w:t>
            </w:r>
          </w:p>
        </w:tc>
      </w:tr>
      <w:tr>
        <w:tc>
          <w:tcPr>
            <w:tcW w:w="1214" w:type="dxa"/>
          </w:tcPr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>
            <w:tcW w:w="1928" w:type="dxa"/>
          </w:tcPr>
          <w:p>
            <w:pPr>
              <w:pStyle w:val="Compact"/>
              <w:jc w:val="right"/>
            </w:pPr>
            <w:r>
              <w:t xml:space="preserve">0.769</w:t>
            </w:r>
          </w:p>
        </w:tc>
        <w:tc>
          <w:tcPr>
            <w:tcW w:w="1072" w:type="dxa"/>
          </w:tcPr>
          <w:p>
            <w:pPr>
              <w:pStyle w:val="Compact"/>
              <w:jc w:val="right"/>
            </w:pPr>
            <w:r>
              <w:t xml:space="preserve">0.772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0.886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0.574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0.696</w:t>
            </w:r>
          </w:p>
        </w:tc>
        <w:tc>
          <w:tcPr>
            <w:tcW w:w="1356" w:type="dxa"/>
          </w:tcPr>
          <w:p>
            <w:pPr>
              <w:pStyle w:val="Compact"/>
              <w:jc w:val="right"/>
            </w:pPr>
            <w:r>
              <w:t xml:space="preserve">0.760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*</w:t>
      </w:r>
      <w:r>
        <w:t xml:space="preserve"> </w:t>
      </w:r>
      <w:r>
        <w:t xml:space="preserve">L=25、49 未参与训练。验证 weighted F1 从第 1 epoch 的 0.605 提升到第 15 epoch 的 0.723，验证 ACC 从 0.612 提升到 0.726。</w:t>
      </w:r>
    </w:p>
    <w:p>
      <w:pPr>
        <w:pStyle w:val="BodyText"/>
      </w:pPr>
      <w:r>
        <w:t xml:space="preserve">修复后的生成器现在具有以下可验证性质：</w:t>
      </w:r>
    </w:p>
    <w:p>
      <w:pPr>
        <w:pStyle w:val="Compact"/>
        <w:numPr>
          <w:ilvl w:val="0"/>
          <w:numId w:val="1008"/>
        </w:numPr>
      </w:pPr>
      <w:r>
        <w:t xml:space="preserve">标签按空间事件掩膜逐像素生成，class 0 是未变化背景；一次 12 patch 回归样本的 changed-label fraction 约为 0.55。</w:t>
      </w:r>
    </w:p>
    <w:p>
      <w:pPr>
        <w:pStyle w:val="Compact"/>
        <w:numPr>
          <w:ilvl w:val="0"/>
          <w:numId w:val="1008"/>
        </w:numPr>
      </w:pPr>
      <w:r>
        <w:t xml:space="preserve">ADCS 随机路径固定为 acquisition 2–3 的独立相干岛。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L @ L.T</w:t>
      </w:r>
      <w:r>
        <w:t xml:space="preserve"> </w:t>
      </w:r>
      <w:r>
        <w:t xml:space="preserve">与目标 Γ 的最大误差约为</w:t>
      </w:r>
      <w:r>
        <w:t xml:space="preserve"> </w:t>
      </w:r>
      <w:r>
        <w:rPr>
          <w:rStyle w:val="VerbatimChar"/>
        </w:rPr>
        <w:t xml:space="preserve">1.1e-16</w:t>
      </w:r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t xml:space="preserve">连续 TC 事件中，事件历元之间也保持低相干。</w:t>
      </w:r>
    </w:p>
    <w:p>
      <w:pPr>
        <w:pStyle w:val="Compact"/>
        <w:numPr>
          <w:ilvl w:val="0"/>
          <w:numId w:val="1008"/>
        </w:numPr>
      </w:pPr>
      <w:r>
        <w:t xml:space="preserve">模式平移采用零填充裁剪，没有周期性回绕。</w:t>
      </w:r>
    </w:p>
    <w:p>
      <w:pPr>
        <w:pStyle w:val="Compact"/>
        <w:numPr>
          <w:ilvl w:val="0"/>
          <w:numId w:val="1008"/>
        </w:numPr>
      </w:pPr>
      <w:r>
        <w:t xml:space="preserve">DC 的 β⁰ 按 Eq. (29) 的局部入射角比例更新；TanDEM-β0 按 Eq. (18) 直接计算。</w:t>
      </w:r>
    </w:p>
    <w:p>
      <w:pPr>
        <w:pStyle w:val="FirstParagraph"/>
      </w:pPr>
      <w:r>
        <w:t xml:space="preserve">旧的</w:t>
      </w:r>
      <w:r>
        <w:t xml:space="preserve"> </w:t>
      </w:r>
      <w:r>
        <w:rPr>
          <w:rStyle w:val="VerbatimChar"/>
        </w:rPr>
        <w:t xml:space="preserve">augmented_LALL</w:t>
      </w:r>
      <w:r>
        <w:t xml:space="preserve">、</w:t>
      </w:r>
      <w:r>
        <w:rPr>
          <w:rStyle w:val="VerbatimChar"/>
        </w:rPr>
        <w:t xml:space="preserve">baseline_L9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baseline_L121</w:t>
      </w:r>
      <w:r>
        <w:t xml:space="preserve"> </w:t>
      </w:r>
      <w:r>
        <w:t xml:space="preserve">指标是在修复前生成的，已保留作历史文件，但不应与本节结果比较。</w:t>
      </w:r>
      <w:r>
        <w:rPr>
          <w:rStyle w:val="VerbatimChar"/>
        </w:rPr>
        <w:t xml:space="preserve">fixed_augmented_smoke</w:t>
      </w:r>
      <w:r>
        <w:t xml:space="preserve"> </w:t>
      </w:r>
      <w:r>
        <w:t xml:space="preserve">是小规模回归训练，不是最终模型。</w:t>
      </w:r>
    </w:p>
    <w:p>
      <w:r>
        <w:pict>
          <v:rect style="width:0;height:1.5pt" o:hralign="center" o:hrstd="t" o:hr="t"/>
        </w:pict>
      </w:r>
    </w:p>
    <w:bookmarkEnd w:id="34"/>
    <w:bookmarkStart w:id="36" w:name="X607abc2697cc53f2e2afde4b0e9b1b05ad55440"/>
    <w:p>
      <w:pPr>
        <w:pStyle w:val="Heading2"/>
      </w:pPr>
      <w:r>
        <w:t xml:space="preserve">7. 使用方法</w:t>
      </w:r>
    </w:p>
    <w:p>
      <w:pPr>
        <w:pStyle w:val="SourceCode"/>
      </w:pP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"D:\anima_trainer_ref\venv\Scripts\python.exe"</w:t>
      </w:r>
      <w:r>
        <w:br/>
      </w:r>
      <w:r>
        <w:rPr>
          <w:rStyle w:val="FunctionTok"/>
        </w:rPr>
        <w:t xml:space="preserve">cd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\DaniNet</w:t>
      </w:r>
      <w:r>
        <w:br/>
      </w:r>
      <w:r>
        <w:br/>
      </w:r>
      <w:r>
        <w:rPr>
          <w:rStyle w:val="CommentTok"/>
        </w:rPr>
        <w:t xml:space="preserve"># 1) 信号模型自检（6 项物理一致性测试）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test_generator</w:t>
      </w:r>
      <w:r>
        <w:br/>
      </w:r>
      <w:r>
        <w:br/>
      </w:r>
      <w:r>
        <w:rPr>
          <w:rStyle w:val="CommentTok"/>
        </w:rPr>
        <w:t xml:space="preserve"># 2) 网络参数量 vs Table IV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br/>
      </w:r>
      <w:r>
        <w:br/>
      </w:r>
      <w:r>
        <w:rPr>
          <w:rStyle w:val="CommentTok"/>
        </w:rPr>
        <w:t xml:space="preserve"># 3) 训练（本次复现使用的配置）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baseline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patches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workers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baseline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121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patches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workers </w:t>
      </w:r>
      <w:r>
        <w:rPr>
          <w:rStyle w:val="DecValTok"/>
        </w:rPr>
        <w:t xml:space="preserve">6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train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mode augmented     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patches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epochs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batch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workers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name final_augmented_v2</w:t>
      </w:r>
      <w:r>
        <w:br/>
      </w:r>
      <w:r>
        <w:br/>
      </w:r>
      <w:r>
        <w:rPr>
          <w:rStyle w:val="CommentTok"/>
        </w:rPr>
        <w:t xml:space="preserve"># 4) 图与表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 dataset      </w:t>
      </w:r>
      <w:r>
        <w:rPr>
          <w:rStyle w:val="CommentTok"/>
        </w:rPr>
        <w:t xml:space="preserve"># Fig. 11 数据集统计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 example      </w:t>
      </w:r>
      <w:r>
        <w:rPr>
          <w:rStyle w:val="CommentTok"/>
        </w:rPr>
        <w:t xml:space="preserve"># Fig. 6  合成 patch 示例</w:t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daninet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 report       </w:t>
      </w:r>
      <w:r>
        <w:rPr>
          <w:rStyle w:val="CommentTok"/>
        </w:rPr>
        <w:t xml:space="preserve"># Table III/VIII 汇总 + 混淆矩阵 + 训练曲线</w:t>
      </w:r>
    </w:p>
    <w:p>
      <w:pPr>
        <w:pStyle w:val="FirstParagraph"/>
      </w:pPr>
      <w:r>
        <w:rPr>
          <w:rStyle w:val="VerbatimChar"/>
        </w:rPr>
        <w:t xml:space="preserve">--model ulaby</w:t>
      </w:r>
      <w:r>
        <w:t xml:space="preserve"> </w:t>
      </w:r>
      <w:r>
        <w:t xml:space="preserve">可切换到 Ulaby 后向散射模型；</w:t>
      </w:r>
      <w:r>
        <w:rPr>
          <w:rStyle w:val="VerbatimChar"/>
        </w:rPr>
        <w:t xml:space="preserve">--blocks N</w:t>
      </w:r>
      <w:r>
        <w:t xml:space="preserve"> </w:t>
      </w:r>
      <w:r>
        <w:t xml:space="preserve">可切换网络深度（Table IV）。</w:t>
      </w:r>
    </w:p>
    <w:bookmarkStart w:id="35" w:name="X1fec6fd6b0ba3256b32a91fc2d0d9e4db7683b9"/>
    <w:p>
      <w:pPr>
        <w:pStyle w:val="Heading3"/>
      </w:pPr>
      <w:r>
        <w:t xml:space="preserve">7.1 Ascend NPU（910_9382 实测）</w:t>
      </w:r>
    </w:p>
    <w:p>
      <w:pPr>
        <w:pStyle w:val="SourceCode"/>
      </w:pPr>
      <w:r>
        <w:rPr>
          <w:rStyle w:val="BuiltInTok"/>
        </w:rPr>
        <w:t xml:space="preserve">source</w:t>
      </w:r>
      <w:r>
        <w:rPr>
          <w:rStyle w:val="NormalTok"/>
        </w:rPr>
        <w:t xml:space="preserve"> /usr/local/Ascend/ascend-toolkit/set_env.sh   </w:t>
      </w:r>
      <w:r>
        <w:rPr>
          <w:rStyle w:val="CommentTok"/>
        </w:rPr>
        <w:t xml:space="preserve"># 必须先执行，否则 import torch 失败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ASCEND_RT_VISIBLE_DEVICES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0                  </w:t>
      </w:r>
      <w:r>
        <w:rPr>
          <w:rStyle w:val="CommentTok"/>
        </w:rPr>
        <w:t xml:space="preserve"># 单卡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OMP_NUM_THREADS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                            </w:t>
      </w:r>
      <w:r>
        <w:rPr>
          <w:rStyle w:val="CommentTok"/>
        </w:rPr>
        <w:t xml:space="preserve"># 关键：避免 worker 间 BLAS 线程争抢</w:t>
      </w:r>
      <w:r>
        <w:br/>
      </w:r>
      <w:r>
        <w:br/>
      </w:r>
      <w:r>
        <w:rPr>
          <w:rStyle w:val="CommentTok"/>
        </w:rPr>
        <w:t xml:space="preserve"># 数值一致性 + 纯算力吞吐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daninet.tools.parity_check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npu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8</w:t>
      </w:r>
      <w:r>
        <w:br/>
      </w:r>
      <w:r>
        <w:br/>
      </w:r>
      <w:r>
        <w:rPr>
          <w:rStyle w:val="CommentTok"/>
        </w:rPr>
        <w:t xml:space="preserve"># 训练（CANN 原生 fp16 + fp16 数据管道）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daninet.net.train </w:t>
      </w:r>
      <w:r>
        <w:rPr>
          <w:rStyle w:val="AttributeTok"/>
        </w:rPr>
        <w:t xml:space="preserve">--mode</w:t>
      </w:r>
      <w:r>
        <w:rPr>
          <w:rStyle w:val="NormalTok"/>
        </w:rPr>
        <w:t xml:space="preserve"> augmented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--patches</w:t>
      </w:r>
      <w:r>
        <w:rPr>
          <w:rStyle w:val="NormalTok"/>
        </w:rPr>
        <w:t xml:space="preserve"> 10000 </w:t>
      </w:r>
      <w:r>
        <w:rPr>
          <w:rStyle w:val="AttributeTok"/>
        </w:rPr>
        <w:t xml:space="preserve">--val-patches</w:t>
      </w:r>
      <w:r>
        <w:rPr>
          <w:rStyle w:val="NormalTok"/>
        </w:rPr>
        <w:t xml:space="preserve"> 4000 </w:t>
      </w:r>
      <w:r>
        <w:rPr>
          <w:rStyle w:val="AttributeTok"/>
        </w:rPr>
        <w:t xml:space="preserve">--test-patches</w:t>
      </w:r>
      <w:r>
        <w:rPr>
          <w:rStyle w:val="NormalTok"/>
        </w:rPr>
        <w:t xml:space="preserve"> 4000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--epochs</w:t>
      </w:r>
      <w:r>
        <w:rPr>
          <w:rStyle w:val="NormalTok"/>
        </w:rPr>
        <w:t xml:space="preserve"> 50 </w:t>
      </w:r>
      <w:r>
        <w:rPr>
          <w:rStyle w:val="AttributeTok"/>
        </w:rPr>
        <w:t xml:space="preserve">--batch</w:t>
      </w:r>
      <w:r>
        <w:rPr>
          <w:rStyle w:val="NormalTok"/>
        </w:rPr>
        <w:t xml:space="preserve"> 32 </w:t>
      </w:r>
      <w:r>
        <w:rPr>
          <w:rStyle w:val="AttributeTok"/>
        </w:rPr>
        <w:t xml:space="preserve">--workers</w:t>
      </w:r>
      <w:r>
        <w:rPr>
          <w:rStyle w:val="NormalTok"/>
        </w:rPr>
        <w:t xml:space="preserve"> 16 </w:t>
      </w:r>
      <w:r>
        <w:rPr>
          <w:rStyle w:val="AttributeTok"/>
        </w:rPr>
        <w:t xml:space="preserve">--prefetch</w:t>
      </w:r>
      <w:r>
        <w:rPr>
          <w:rStyle w:val="NormalTok"/>
        </w:rPr>
        <w:t xml:space="preserve"> 32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--transport</w:t>
      </w:r>
      <w:r>
        <w:rPr>
          <w:rStyle w:val="NormalTok"/>
        </w:rPr>
        <w:t xml:space="preserve"> fp16 </w:t>
      </w:r>
      <w:r>
        <w:rPr>
          <w:rStyle w:val="AttributeTok"/>
        </w:rPr>
        <w:t xml:space="preserve">--amp</w:t>
      </w:r>
      <w:r>
        <w:rPr>
          <w:rStyle w:val="NormalTok"/>
        </w:rPr>
        <w:t xml:space="preserve"> auto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npu </w:t>
      </w:r>
      <w:r>
        <w:rPr>
          <w:rStyle w:val="AttributeTok"/>
        </w:rPr>
        <w:t xml:space="preserve">--name</w:t>
      </w:r>
      <w:r>
        <w:rPr>
          <w:rStyle w:val="NormalTok"/>
        </w:rPr>
        <w:t xml:space="preserve"> a3_aug_e50</w:t>
      </w:r>
    </w:p>
    <w:tbl>
      <w:tblPr>
        <w:tblStyle w:val="Table"/>
        <w:tblW w:type="dxa" w:w="9638"/>
        <w:jc w:val="left"/>
        <w:tblLook w:firstRow="1" w:lastRow="0" w:firstColumn="0" w:lastColumn="0" w:noHBand="0" w:noVBand="0" w:val="0020"/>
      </w:tblPr>
      <w:tblGrid>
        <w:gridCol w:w="4736"/>
        <w:gridCol w:w="4902"/>
      </w:tblGrid>
      <w:tr>
        <w:trPr>
          <w:tblHeader w:val="on"/>
        </w:trPr>
        <w:tc>
          <w:tcPr>
            <w:tcW w:w="4736" w:type="dxa"/>
          </w:tcPr>
          <w:p>
            <w:pPr>
              <w:pStyle w:val="Compact"/>
              <w:jc w:val="left"/>
            </w:pPr>
            <w:r>
              <w:t xml:space="preserve">参数</w:t>
            </w:r>
          </w:p>
        </w:tc>
        <w:tc>
          <w:tcPr>
            <w:tcW w:w="4902" w:type="dxa"/>
          </w:tcPr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>
            <w:tcW w:w="473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--device auto|npu|cuda|cpu</w:t>
            </w:r>
          </w:p>
        </w:tc>
        <w:tc>
          <w:tcPr>
            <w:tcW w:w="49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按 npu → cuda → cpu 选择；显式</w:t>
            </w:r>
            <w:r>
              <w:t xml:space="preserve"> </w:t>
            </w:r>
            <w:r>
              <w:rPr>
                <w:rStyle w:val="VerbatimChar"/>
              </w:rPr>
              <w:t xml:space="preserve">npu</w:t>
            </w:r>
            <w:r>
              <w:t xml:space="preserve"> </w:t>
            </w:r>
            <w:r>
              <w:t xml:space="preserve">失败会直接报错，不静默回落</w:t>
            </w:r>
          </w:p>
        </w:tc>
      </w:tr>
      <w:tr>
        <w:tc>
          <w:tcPr>
            <w:tcW w:w="473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--amp auto|on|off</w:t>
            </w:r>
          </w:p>
        </w:tc>
        <w:tc>
          <w:tcPr>
            <w:tcW w:w="490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auto</w:t>
            </w:r>
            <w:r>
              <w:t xml:space="preserve"> </w:t>
            </w:r>
            <w:r>
              <w:t xml:space="preserve">在 cuda/npu 上启用 fp16；</w:t>
            </w:r>
            <w:r>
              <w:rPr>
                <w:rStyle w:val="VerbatimChar"/>
              </w:rPr>
              <w:t xml:space="preserve">off</w:t>
            </w:r>
            <w:r>
              <w:t xml:space="preserve"> </w:t>
            </w:r>
            <w:r>
              <w:t xml:space="preserve">为 fp32 基线</w:t>
            </w:r>
          </w:p>
        </w:tc>
      </w:tr>
      <w:tr>
        <w:tc>
          <w:tcPr>
            <w:tcW w:w="473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--transport fp32|fp16</w:t>
            </w:r>
          </w:p>
        </w:tc>
        <w:tc>
          <w:tcPr>
            <w:tcW w:w="4902" w:type="dxa"/>
          </w:tcPr>
          <w:p>
            <w:pPr>
              <w:pStyle w:val="Compact"/>
              <w:jc w:val="left"/>
            </w:pPr>
            <w:r>
              <w:t xml:space="preserve">worker 到主进程的传输精度；fp16 让数据管道吞吐接近翻倍</w:t>
            </w:r>
          </w:p>
        </w:tc>
      </w:tr>
      <w:tr>
        <w:tc>
          <w:tcPr>
            <w:tcW w:w="473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--prefetch N</w:t>
            </w:r>
          </w:p>
        </w:tc>
        <w:tc>
          <w:tcPr>
            <w:tcW w:w="4902" w:type="dxa"/>
          </w:tcPr>
          <w:p>
            <w:pPr>
              <w:pStyle w:val="Compact"/>
              <w:jc w:val="left"/>
            </w:pPr>
            <w:r>
              <w:t xml:space="preserve">预取批数，默认 16；A3 上 32 更稳</w:t>
            </w:r>
          </w:p>
        </w:tc>
      </w:tr>
      <w:tr>
        <w:tc>
          <w:tcPr>
            <w:tcW w:w="473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--wd F</w:t>
            </w:r>
          </w:p>
        </w:tc>
        <w:tc>
          <w:tcPr>
            <w:tcW w:w="4902" w:type="dxa"/>
          </w:tcPr>
          <w:p>
            <w:pPr>
              <w:pStyle w:val="Compact"/>
              <w:jc w:val="left"/>
            </w:pPr>
            <w:r>
              <w:t xml:space="preserve">Adam weight decay，默认 0（论文未指定，非必要不开）</w:t>
            </w:r>
          </w:p>
        </w:tc>
      </w:tr>
    </w:tbl>
    <w:p>
      <w:pPr>
        <w:pStyle w:val="BodyText"/>
      </w:pPr>
      <w:r>
        <w:t xml:space="preserve">实测（单卡 910_9382）：fp32 算力 516–598 patch/s，AMP 850 patch/s；数据管道 fp32 332 → fp16 776 patch/s；与 GPU 基线的逐视数 F1 差异 ≤ 0.0003，耗时 28.1 min → 8.9 min。</w:t>
      </w:r>
    </w:p>
    <w:bookmarkEnd w:id="35"/>
    <w:bookmarkEnd w:id="36"/>
    <w:sectPr>
      <w:footerReference w:type="default" r:id="rId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  <w:spacing w:before="0" w:after="0"/>
    </w:pPr>
    <w:r>
      <w:rPr>
        <w:color w:val="9A9A9A"/>
        <w:sz w:val="16"/>
      </w:rPr>
      <w:t xml:space="preserve">InSAR_affair  ·  </w:t>
    </w:r>
    <w:fldSimple w:instr=" PAGE ">
      <w:r>
        <w:rPr>
          <w:color w:val="9A9A9A"/>
          <w:sz w:val="16"/>
        </w:rP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Calibri" w:eastAsia="微软雅黑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Normal"/>
    <w:qFormat/>
    <w:pPr>
      <w:keepNext/>
      <w:spacing w:after="80" w:before="0"/>
    </w:pPr>
    <w:rPr>
      <w:rFonts w:ascii="Calibri" w:cs="Calibri" w:eastAsia="微软雅黑" w:hAnsi="Calibri"/>
      <w:b/>
      <w:bCs/>
      <w:color w:val="1B2A33"/>
      <w:sz w:val="40"/>
      <w:szCs w:val="40"/>
    </w:rPr>
  </w:style>
  <w:style w:styleId="Subtitle" w:type="paragraph">
    <w:name w:val="Subtitle"/>
    <w:basedOn w:val="Normal"/>
    <w:next w:val="Normal"/>
    <w:qFormat/>
    <w:pPr>
      <w:spacing w:after="200" w:before="0"/>
      <w:pBdr>
        <w:bottom w:color="D3CCBB" w:space="6" w:sz="6" w:val="single"/>
      </w:pBdr>
    </w:pPr>
    <w:rPr>
      <w:rFonts w:ascii="Calibri" w:cs="Calibri" w:eastAsia="微软雅黑" w:hAnsi="Calibri"/>
      <w:color w:val="6E6A60"/>
      <w:sz w:val="20"/>
      <w:szCs w:val="2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basedOn w:val="Normal"/>
    <w:next w:val="Normal"/>
    <w:qFormat/>
    <w:pPr>
      <w:spacing w:after="320" w:before="0"/>
    </w:pPr>
    <w:rPr>
      <w:rFonts w:ascii="Calibri" w:cs="Calibri" w:eastAsia="微软雅黑" w:hAnsi="Calibri"/>
      <w:color w:val="6E6A60"/>
      <w:sz w:val="18"/>
      <w:szCs w:val="18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Normal"/>
    <w:qFormat/>
    <w:pPr>
      <w:keepNext/>
      <w:spacing w:after="140" w:before="440"/>
      <w:pBdr>
        <w:bottom w:color="D3CCBB" w:space="6" w:sz="6" w:val="single"/>
      </w:pBdr>
    </w:pPr>
    <w:rPr>
      <w:rFonts w:ascii="Calibri" w:cs="Calibri" w:eastAsia="微软雅黑" w:hAnsi="Calibri"/>
      <w:b/>
      <w:bCs/>
      <w:color w:val="1B2A33"/>
      <w:sz w:val="30"/>
      <w:szCs w:val="30"/>
    </w:rPr>
  </w:style>
  <w:style w:styleId="Heading2" w:type="paragraph">
    <w:name w:val="heading 2"/>
    <w:basedOn w:val="Normal"/>
    <w:next w:val="Normal"/>
    <w:qFormat/>
    <w:pPr>
      <w:keepNext/>
      <w:spacing w:after="100" w:before="320"/>
    </w:pPr>
    <w:rPr>
      <w:rFonts w:ascii="Calibri" w:cs="Calibri" w:eastAsia="微软雅黑" w:hAnsi="Calibri"/>
      <w:b/>
      <w:bCs/>
      <w:color w:val="1B2A33"/>
      <w:sz w:val="24"/>
      <w:szCs w:val="24"/>
    </w:rPr>
  </w:style>
  <w:style w:styleId="Heading3" w:type="paragraph">
    <w:name w:val="heading 3"/>
    <w:basedOn w:val="Normal"/>
    <w:next w:val="Normal"/>
    <w:qFormat/>
    <w:pPr>
      <w:keepNext/>
      <w:spacing w:after="80" w:before="260"/>
    </w:pPr>
    <w:rPr>
      <w:rFonts w:ascii="Calibri" w:cs="Calibri" w:eastAsia="微软雅黑" w:hAnsi="Calibri"/>
      <w:b/>
      <w:bCs/>
      <w:color w:val="333333"/>
      <w:sz w:val="21"/>
      <w:szCs w:val="21"/>
    </w:rPr>
  </w:style>
  <w:style w:styleId="Heading4" w:type="paragraph">
    <w:name w:val="heading 4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5" w:type="paragraph">
    <w:name w:val="heading 5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6" w:type="paragraph">
    <w:name w:val="heading 6"/>
    <w:basedOn w:val="Normal"/>
    <w:next w:val="Normal"/>
    <w:qFormat/>
    <w:pPr>
      <w:keepNext/>
      <w:spacing w:after="60" w:before="220"/>
    </w:pPr>
    <w:rPr>
      <w:rFonts w:ascii="Calibri" w:cs="Calibri" w:eastAsia="微软雅黑" w:hAnsi="Calibri"/>
      <w:b/>
      <w:bCs/>
      <w:color w:val="3F3F3F"/>
      <w:sz w:val="20"/>
      <w:szCs w:val="20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Normal"/>
    <w:qFormat/>
    <w:pPr>
      <w:spacing w:after="140" w:before="120" w:line="290" w:lineRule="auto"/>
      <w:pBdr>
        <w:left w:color="9CC6BE" w:space="10" w:sz="18" w:val="single"/>
      </w:pBdr>
      <w:ind w:left="240" w:right="160"/>
      <w:shd w:color="auto" w:fill="F7F4EC" w:val="clear"/>
    </w:pPr>
    <w:rPr>
      <w:rFonts w:ascii="Calibri" w:cs="Calibri" w:eastAsia="微软雅黑" w:hAnsi="Calibri"/>
      <w:color w:val="333333"/>
      <w:sz w:val="21"/>
      <w:szCs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Author" w:type="paragraph">
    <w:name w:val="Author"/>
    <w:basedOn w:val="Normal"/>
    <w:next w:val="Normal"/>
    <w:qFormat/>
    <w:pPr>
      <w:spacing w:after="60" w:before="0"/>
    </w:pPr>
    <w:rPr>
      <w:rFonts w:ascii="Calibri" w:cs="Calibri" w:eastAsia="微软雅黑" w:hAnsi="Calibri"/>
      <w:color w:val="6E6A60"/>
      <w:sz w:val="18"/>
      <w:szCs w:val="18"/>
    </w:rPr>
  </w:style>
  <w:style w:styleId="FirstParagraph" w:type="paragraph">
    <w:name w:val="First Paragraph"/>
    <w:basedOn w:val="Normal"/>
    <w:next w:val="Normal"/>
    <w:qFormat/>
    <w:pPr>
      <w:spacing w:after="140" w:before="0" w:line="300" w:lineRule="auto"/>
    </w:pPr>
    <w:rPr>
      <w:rFonts w:ascii="Calibri" w:cs="Calibri" w:eastAsia="微软雅黑" w:hAnsi="Calibri"/>
      <w:color w:val="1B2A33"/>
      <w:sz w:val="21"/>
      <w:szCs w:val="21"/>
    </w:rPr>
  </w:style>
  <w:style w:styleId="Compact" w:type="paragraph">
    <w:name w:val="Compact"/>
    <w:basedOn w:val="Normal"/>
    <w:next w:val="Normal"/>
    <w:qFormat/>
    <w:pPr>
      <w:spacing w:after="20" w:before="0" w:line="290" w:lineRule="auto"/>
    </w:pPr>
    <w:rPr>
      <w:rFonts w:ascii="Calibri" w:cs="Calibri" w:eastAsia="微软雅黑" w:hAnsi="Calibri"/>
      <w:color w:val="1B2A33"/>
      <w:sz w:val="21"/>
      <w:szCs w:val="21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Caption" w:type="paragraph">
    <w:name w:val="caption"/>
    <w:basedOn w:val="Normal"/>
    <w:next w:val="Normal"/>
    <w:qFormat/>
    <w:pPr>
      <w:spacing w:after="200" w:before="60"/>
    </w:pPr>
    <w:rPr>
      <w:rFonts w:ascii="Calibri" w:cs="Calibri" w:eastAsia="微软雅黑" w:hAnsi="Calibri"/>
      <w:i/>
      <w:iCs/>
      <w:color w:val="6E6A60"/>
      <w:sz w:val="18"/>
      <w:szCs w:val="18"/>
    </w:rPr>
  </w:style>
  <w:style w:styleId="SourceCode" w:type="paragraph">
    <w:name w:val="Source Code"/>
    <w:basedOn w:val="Normal"/>
    <w:qFormat/>
    <w:pPr>
      <w:spacing w:after="80" w:before="80" w:line="260" w:lineRule="auto"/>
      <w:shd w:color="auto" w:fill="F7F4EC" w:val="clear"/>
      <w:pBdr>
        <w:left w:color="9CC6BE" w:space="8" w:sz="18" w:val="single"/>
      </w:pBdr>
      <w:ind w:left="120" w:right="120"/>
    </w:pPr>
    <w:rPr>
      <w:rFonts w:ascii="Consolas" w:cs="Consolas" w:eastAsia="Consolas" w:hAnsi="Consolas"/>
      <w:color w:val="242424"/>
      <w:sz w:val="18"/>
      <w:szCs w:val="18"/>
    </w:rPr>
  </w:style>
  <w:style w:styleId="VerbatimChar" w:type="character">
    <w:name w:val="Verbatim Char"/>
    <w:basedOn w:val="DefaultParagraphFont"/>
    <w:rPr>
      <w:rFonts w:ascii="Consolas" w:cs="Consolas" w:eastAsia="Consolas" w:hAnsi="Consolas"/>
      <w:color w:val="242424"/>
      <w:sz w:val="19"/>
      <w:szCs w:val="19"/>
    </w:rPr>
  </w:style>
  <w:style w:styleId="Table" w:type="table">
    <w:name w:val="Table"/>
    <w:qFormat/>
    <w:tblPr>
      <w:tblBorders>
        <w:top w:color="D3CCBB" w:sz="8" w:val="single"/>
        <w:bottom w:color="D3CCBB" w:sz="8" w:val="single"/>
        <w:insideH w:color="E7E2D6" w:sz="4" w:val="single"/>
        <w:left w:sz="0" w:val="none"/>
        <w:right w:sz="0" w:val="none"/>
        <w:insideV w:sz="0" w:val="none"/>
      </w:tblBorders>
      <w:tblCellMar>
        <w:top w:type="dxa" w:w="90"/>
        <w:bottom w:type="dxa" w:w="90"/>
        <w:left w:type="dxa" w:w="120"/>
        <w:right w:type="dxa" w:w="120"/>
      </w:tblCellMar>
    </w:tblPr>
    <w:tblStylePr w:type="firstRow">
      <w:rPr>
        <w:rFonts w:ascii="Calibri" w:cs="Calibri" w:eastAsia="微软雅黑" w:hAnsi="Calibri"/>
        <w:b/>
        <w:bCs/>
        <w:color w:val="1B2A33"/>
        <w:sz w:val="19"/>
        <w:szCs w:val="19"/>
      </w:rPr>
      <w:tcPr>
        <w:shd w:color="auto" w:fill="F2EEE3" w:val="clear"/>
      </w:tcPr>
    </w:tblStyle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复现说明</dc:title>
  <dc:creator/>
  <cp:keywords/>
  <dcterms:created xsi:type="dcterms:W3CDTF">2026-10-22T16:30:37Z</dcterms:created>
  <dcterms:modified xsi:type="dcterms:W3CDTF">2026-10-22T16:30:37Z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2026-10-23</vt:lpwstr>
  </property>
  <property fmtid="{D5CDD505-2E9C-101B-9397-08002B2CF9AE}" pid="3" name="subtitle">
    <vt:lpwstr>DANI-NET 复现的完整说明：公式对照、复现发现、结果表</vt:lpwstr>
  </property>
</Properties>
</file>