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Arial" w:hAnsi="Arial" w:eastAsia="Noto Sans CJK SC" w:cs="Arial"/>
          <w:b/>
          <w:sz w:val="36"/>
        </w:rPr>
        <w:t>太阳黄经引导的火星臭氧季节非平稳时空预测方法</w:t>
      </w:r>
    </w:p>
    <w:p>
      <w:pPr>
        <w:spacing w:after="320"/>
        <w:jc w:val="center"/>
      </w:pPr>
      <w:r>
        <w:rPr>
          <w:rFonts w:ascii="Arial" w:hAnsi="Arial" w:eastAsia="Noto Sans CJK SC" w:cs="Arial"/>
          <w:sz w:val="22"/>
        </w:rPr>
        <w:t>中文论文定稿式初稿</w:t>
      </w:r>
    </w:p>
    <w:p>
      <w:pPr>
        <w:spacing w:after="80"/>
        <w:jc w:val="left"/>
      </w:pPr>
      <w:r>
        <w:rPr>
          <w:rFonts w:ascii="Arial" w:hAnsi="Arial" w:eastAsia="Noto Sans CJK SC" w:cs="Arial"/>
          <w:b/>
          <w:sz w:val="24"/>
        </w:rPr>
        <w:t>摘要</w:t>
      </w:r>
    </w:p>
    <w:p>
      <w:pPr>
        <w:spacing w:before="0" w:after="120" w:line="276" w:lineRule="auto"/>
      </w:pPr>
      <w:r>
        <w:rPr>
          <w:rFonts w:ascii="Times New Roman" w:hAnsi="Times New Roman" w:eastAsia="宋体"/>
          <w:sz w:val="21"/>
        </w:rPr>
        <w:t>火星臭氧受大气环流、太阳辐照、水汽输送及光化学反应共同控制，其全球分布具有显著的季节性非平稳特征。太阳黄经（solar longitude, Ls）作为火星季节相位的物理表征，决定了火星大气背景状态和臭氧化学环境的阶段性变化。然而，常规自回归深度时空预测模型在火星臭氧预测中容易发生 shortcut learning，即过度依赖历史臭氧场的局部时间连续性，而未能充分学习由季节相位调制的臭氧-环境变量映射关系。为解决这一问题，本文提出一种物理引导的火星臭氧时空预测框架。该框架包括三个核心模块：太阳黄经引导的空间周期调制模块，用于将标量 Ls 转换为空间异质性的周期调制场；臭氧目标通道加性基线校正模块，用于分离季节背景项与短时扰动项；以及解码端未来 GCM 动态强迫模块，用于在多步滚动预测中引入未来大尺度环境约束。基于 OpenMars 臭氧场与 GCM/MCD 环境场构建的滑窗实验表明，简单拼接标量 Ls 会降低模型性能，而空间周期调制能够显著改善短期预测。在已报告的 H=3 设置下，完整模型将 RMSE 从 1.7083 降至 1.3299，R² 从 0.9185 提升至 0.9506；在 H=10 长程滚动预测中，引入未来 GCM 场的解码端动态强迫将 RMSE 从 2.3801 降至 1.9393，表现出更好的 rollout stability。跨 20 种异构预测架构的模型消融进一步表明，PhaseWarp 前端使 19/20 个模型的 RMSE 下降，平均 RMSE 改善 0.2903，平均 R² 误差减小率为 17.87%。研究结果说明，显式建模 seasonal non-stationarity 是提升 Martian ozone forecasting 稳定性和物理一致性的关键。</w:t>
      </w:r>
    </w:p>
    <w:p>
      <w:pPr>
        <w:spacing w:after="280"/>
      </w:pPr>
      <w:r>
        <w:rPr>
          <w:rFonts w:ascii="Arial" w:hAnsi="Arial" w:eastAsia="Noto Sans CJK SC" w:cs="Arial"/>
          <w:b/>
          <w:sz w:val="20"/>
        </w:rPr>
        <w:t>关键词：</w:t>
      </w:r>
      <w:r>
        <w:rPr>
          <w:rFonts w:ascii="Times New Roman" w:hAnsi="Times New Roman" w:eastAsia="Noto Serif CJK SC" w:cs="Times New Roman"/>
          <w:sz w:val="20"/>
        </w:rPr>
        <w:t>火星臭氧预测；太阳黄经；季节性非平稳；捷径学习；空间周期调制；动态强迫；时空预测；滚动稳定性</w:t>
      </w:r>
    </w:p>
    <w:p>
      <w:r>
        <w:br w:type="page"/>
      </w:r>
    </w:p>
    <w:p>
      <w:pPr>
        <w:pStyle w:val="Heading1"/>
        <w:spacing w:before="240" w:after="160"/>
      </w:pPr>
      <w:r>
        <w:rPr>
          <w:rFonts w:ascii="Arial" w:hAnsi="Arial" w:eastAsia="Noto Sans CJK SC" w:cs="Arial"/>
          <w:b/>
          <w:sz w:val="28"/>
        </w:rPr>
        <w:t>1. 引言</w:t>
      </w:r>
    </w:p>
    <w:p>
      <w:pPr>
        <w:spacing w:before="0" w:after="80" w:line="288" w:lineRule="auto"/>
        <w:ind w:firstLine="420"/>
      </w:pPr>
      <w:r>
        <w:rPr>
          <w:rFonts w:ascii="Times New Roman" w:hAnsi="Times New Roman" w:eastAsia="Noto Serif CJK SC" w:cs="Times New Roman"/>
          <w:sz w:val="21"/>
        </w:rPr>
        <w:t>火星大气成分的时空预测是行星大气科学和深空探测任务规划中的重要问题。臭氧作为火星大气中的关键光化学微量气体，既受太阳紫外辐射与水汽光化学过程影响，也受大尺度环流、极地涡旋和跨赤道输送等动力过程控制。因此，火星臭氧不仅是光化学反应强度的指示量，也是诊断火星大气动力结构和季节演化的重要示踪量。</w:t>
      </w:r>
    </w:p>
    <w:p>
      <w:pPr>
        <w:spacing w:before="0" w:after="80" w:line="288" w:lineRule="auto"/>
        <w:ind w:firstLine="420"/>
      </w:pPr>
      <w:r>
        <w:rPr>
          <w:rFonts w:ascii="Times New Roman" w:hAnsi="Times New Roman" w:eastAsia="Noto Serif CJK SC" w:cs="Times New Roman"/>
          <w:sz w:val="21"/>
        </w:rPr>
        <w:t>近年来，深度学习方法被广泛应用于气象和气候预测任务。相较于传统数值模式，深度学习模型在计算效率和非线性模式提取方面具有潜力。然而，将常规深度时空预测模型直接用于火星臭氧预测仍面临显著困难。其根本原因在于，火星臭氧场同时具有短期连续性和强季节非平稳性。一方面，相邻时间步臭氧分布通常较为平滑，使自回归模型容易通过复制或平滑上一时刻臭氧场获得较低短期误差；另一方面，臭氧与风场、温度、辐射等环境变量之间的关系会随太阳黄经 Ls 发生系统性变化，导致同一环境状态在不同季节阶段可能对应不同臭氧响应。若模型缺乏有效的季节相位约束，就容易学习局部时间惯性这一“捷径”，而非真实的动力-光化学调制关系。</w:t>
      </w:r>
    </w:p>
    <w:p>
      <w:pPr>
        <w:spacing w:before="0" w:after="80" w:line="288" w:lineRule="auto"/>
        <w:ind w:firstLine="420"/>
      </w:pPr>
      <w:r>
        <w:rPr>
          <w:rFonts w:ascii="Times New Roman" w:hAnsi="Times New Roman" w:eastAsia="Noto Serif CJK SC" w:cs="Times New Roman"/>
          <w:sz w:val="21"/>
        </w:rPr>
        <w:t>太阳黄经是描述火星季节相位的核心物理变量。与普通时间索引不同，Ls 直接对应火星在公转轨道中的位置，决定了太阳辐照几何、季节长度、大气环流背景及水汽光化学环境。由于火星轨道偏心率较大，季节变化在南北半球和不同纬度区域表现出明显不对称性。因此，火星臭氧预测中的季节信息不应被简单处理为全局标量，而应以空间异质性的方式进入模型。</w:t>
      </w:r>
    </w:p>
    <w:p>
      <w:pPr>
        <w:spacing w:before="0" w:after="80" w:line="288" w:lineRule="auto"/>
        <w:ind w:firstLine="420"/>
      </w:pPr>
      <w:r>
        <w:rPr>
          <w:rFonts w:ascii="Times New Roman" w:hAnsi="Times New Roman" w:eastAsia="Noto Serif CJK SC" w:cs="Times New Roman"/>
          <w:sz w:val="21"/>
        </w:rPr>
        <w:t>基于上述认识，本文提出一种面向火星臭氧预测的物理引导深度学习框架。该框架不改变下游预测骨干的基本形式，而是在输入端和解码端引入物理结构约束：首先，通过太阳黄经引导的空间周期调制，将 Ls 转换为与地理位置相关的周期调制场；其次，对臭氧目标通道采用加性基线校正，以缓解季节背景漂移与短时扰动混叠；最后，在解码阶段引入未来 GCM 环境场作为动态强迫，以提高长时程滚动预测稳定性。</w:t>
      </w:r>
    </w:p>
    <w:p>
      <w:pPr>
        <w:spacing w:before="0" w:after="80" w:line="288" w:lineRule="auto"/>
        <w:ind w:firstLine="420"/>
      </w:pPr>
      <w:r>
        <w:rPr>
          <w:rFonts w:ascii="Times New Roman" w:hAnsi="Times New Roman" w:eastAsia="Noto Serif CJK SC" w:cs="Times New Roman"/>
          <w:sz w:val="21"/>
        </w:rPr>
        <w:t>本文的主要贡献如下。</w:t>
      </w:r>
    </w:p>
    <w:p>
      <w:pPr>
        <w:spacing w:before="0" w:after="80" w:line="288" w:lineRule="auto"/>
        <w:ind w:firstLine="420"/>
      </w:pPr>
      <w:r>
        <w:rPr>
          <w:rFonts w:ascii="Times New Roman" w:hAnsi="Times New Roman" w:eastAsia="Noto Serif CJK SC" w:cs="Times New Roman"/>
          <w:sz w:val="21"/>
        </w:rPr>
        <w:t>第一，将火星臭氧预测明确表述为季节性非平稳条件下的深度时空预测问题，并分析常规自回归模型发生 shortcut learning 的物理和统计原因。</w:t>
      </w:r>
    </w:p>
    <w:p>
      <w:pPr>
        <w:spacing w:before="0" w:after="80" w:line="288" w:lineRule="auto"/>
        <w:ind w:firstLine="420"/>
      </w:pPr>
      <w:r>
        <w:rPr>
          <w:rFonts w:ascii="Times New Roman" w:hAnsi="Times New Roman" w:eastAsia="Noto Serif CJK SC" w:cs="Times New Roman"/>
          <w:sz w:val="21"/>
        </w:rPr>
        <w:t>第二，提出太阳黄经引导的空间周期调制机制，将标量季节相位转换为空间异质性的周期条件信息，使模型能够显式感知不同季节阶段和不同地理区域的臭氧响应差异。</w:t>
      </w:r>
    </w:p>
    <w:p>
      <w:pPr>
        <w:spacing w:before="0" w:after="80" w:line="288" w:lineRule="auto"/>
        <w:ind w:firstLine="420"/>
      </w:pPr>
      <w:r>
        <w:rPr>
          <w:rFonts w:ascii="Times New Roman" w:hAnsi="Times New Roman" w:eastAsia="Noto Serif CJK SC" w:cs="Times New Roman"/>
          <w:sz w:val="21"/>
        </w:rPr>
        <w:t>第三，提出臭氧目标通道加性基线校正与解码端未来 GCM 动态强迫机制，分别用于改善目标变量建模和长程 rollout stability。</w:t>
      </w:r>
    </w:p>
    <w:p>
      <w:pPr>
        <w:spacing w:before="0" w:after="80" w:line="288" w:lineRule="auto"/>
        <w:ind w:firstLine="420"/>
      </w:pPr>
      <w:r>
        <w:rPr>
          <w:rFonts w:ascii="Times New Roman" w:hAnsi="Times New Roman" w:eastAsia="宋体"/>
          <w:sz w:val="21"/>
        </w:rPr>
        <w:t>第四，通过短期预测、长时程滚动预测及跨 20 种异构架构的模型消融实验，验证该方法的有效性和跨架构泛化能力。</w:t>
      </w:r>
    </w:p>
    <w:p>
      <w:pPr>
        <w:pStyle w:val="Heading1"/>
        <w:spacing w:before="240" w:after="160"/>
      </w:pPr>
      <w:r>
        <w:rPr>
          <w:rFonts w:ascii="Arial" w:hAnsi="Arial" w:eastAsia="Noto Sans CJK SC" w:cs="Arial"/>
          <w:b/>
          <w:sz w:val="28"/>
        </w:rPr>
        <w:t>2. 物理背景与问题定义</w:t>
      </w:r>
    </w:p>
    <w:p>
      <w:pPr>
        <w:pStyle w:val="Heading2"/>
        <w:spacing w:before="160" w:after="120"/>
      </w:pPr>
      <w:r>
        <w:rPr>
          <w:rFonts w:ascii="Arial" w:hAnsi="Arial" w:eastAsia="Noto Sans CJK SC" w:cs="Arial"/>
          <w:b/>
          <w:sz w:val="24"/>
        </w:rPr>
        <w:t>2.1 火星臭氧的动力-光化学控制机制</w:t>
      </w:r>
    </w:p>
    <w:p>
      <w:pPr>
        <w:spacing w:before="0" w:after="80" w:line="288" w:lineRule="auto"/>
        <w:ind w:firstLine="420"/>
      </w:pPr>
      <w:r>
        <w:rPr>
          <w:rFonts w:ascii="Times New Roman" w:hAnsi="Times New Roman" w:eastAsia="Noto Serif CJK SC" w:cs="Times New Roman"/>
          <w:sz w:val="21"/>
        </w:rPr>
        <w:t>火星臭氧的形成与消耗受大气动力和光化学过程共同控制。大尺度环流决定水汽、温度和微量气体的输送路径；太阳辐射和水汽光解过程则决定臭氧的化学生成与损耗速率。尤其在水汽较丰富或紫外辐射较强的条件下，水汽光解产生的奇氢自由基可显著增强臭氧催化损耗。相反，在寒冷、干燥且动力隔离较强的高纬区域，臭氧更容易积累。</w:t>
      </w:r>
    </w:p>
    <w:p>
      <w:pPr>
        <w:spacing w:before="0" w:after="80" w:line="288" w:lineRule="auto"/>
        <w:ind w:firstLine="420"/>
      </w:pPr>
      <w:r>
        <w:rPr>
          <w:rFonts w:ascii="Times New Roman" w:hAnsi="Times New Roman" w:eastAsia="Noto Serif CJK SC" w:cs="Times New Roman"/>
          <w:sz w:val="21"/>
        </w:rPr>
        <w:t>因此，火星臭氧场具有典型的复合属性：它既是受局地热力和辐射条件影响的化学场，也是反映行星尺度环流和极地动力过程的示踪场。这种属性使臭氧预测不同于一般平稳图像序列预测，而需要同时刻画短期连续性、季节调制和空间异质性。</w:t>
      </w:r>
    </w:p>
    <w:p>
      <w:pPr>
        <w:pStyle w:val="Heading2"/>
        <w:spacing w:before="160" w:after="120"/>
      </w:pPr>
      <w:r>
        <w:rPr>
          <w:rFonts w:ascii="Arial" w:hAnsi="Arial" w:eastAsia="Noto Sans CJK SC" w:cs="Arial"/>
          <w:b/>
          <w:sz w:val="24"/>
        </w:rPr>
        <w:t>2.2 太阳黄经控制下的季节性非平稳性</w:t>
      </w:r>
    </w:p>
    <w:p>
      <w:pPr>
        <w:spacing w:before="0" w:after="80" w:line="288" w:lineRule="auto"/>
        <w:ind w:firstLine="420"/>
      </w:pPr>
      <w:r>
        <w:rPr>
          <w:rFonts w:ascii="Times New Roman" w:hAnsi="Times New Roman" w:eastAsia="Noto Serif CJK SC" w:cs="Times New Roman"/>
          <w:sz w:val="21"/>
        </w:rPr>
        <w:t>太阳黄经 Ls 是火星季节变化的基本坐标。Ls=0°、90°、180° 和 270° 分别对应火星北半球春分、夏至、秋分和冬至。由于火星轨道偏心率较大，不同季节阶段的太阳辐照强度和持续时间并不对称，从而导致大气背景态、环流结构和光化学反应环境随 Ls 发生显著变化。</w:t>
      </w:r>
    </w:p>
    <w:p>
      <w:pPr>
        <w:spacing w:before="0" w:after="80" w:line="288" w:lineRule="auto"/>
        <w:ind w:firstLine="420"/>
      </w:pPr>
      <w:r>
        <w:rPr>
          <w:rFonts w:ascii="Times New Roman" w:hAnsi="Times New Roman" w:eastAsia="Noto Serif CJK SC" w:cs="Times New Roman"/>
          <w:sz w:val="21"/>
        </w:rPr>
        <w:t>这意味着臭氧与环境变量之间的映射关系并非时间平稳。相同的温度、风速或辐射条件，在不同 Ls 阶段可能对应不同的臭氧浓度和空间分布。例如，近日点附近的南半球夏季更容易伴随强辐照、增强的热力环流和水汽输送，从而改变臭氧损耗环境；而远日点附近的寒冷季节则可能有利于高纬臭氧积累。因此，若模型仅依赖瞬时环境变量而忽略季节相位，就难以区分不同季节分支下的臭氧响应。</w:t>
      </w:r>
    </w:p>
    <w:p>
      <w:pPr>
        <w:pStyle w:val="Heading2"/>
        <w:spacing w:before="160" w:after="120"/>
      </w:pPr>
      <w:r>
        <w:rPr>
          <w:rFonts w:ascii="Arial" w:hAnsi="Arial" w:eastAsia="Noto Sans CJK SC" w:cs="Arial"/>
          <w:b/>
          <w:sz w:val="24"/>
        </w:rPr>
        <w:t>2.3 自回归预测中的捷径学习</w:t>
      </w:r>
    </w:p>
    <w:p>
      <w:pPr>
        <w:spacing w:before="0" w:after="80" w:line="288" w:lineRule="auto"/>
        <w:ind w:firstLine="420"/>
      </w:pPr>
      <w:r>
        <w:rPr>
          <w:rFonts w:ascii="Times New Roman" w:hAnsi="Times New Roman" w:eastAsia="Noto Serif CJK SC" w:cs="Times New Roman"/>
          <w:sz w:val="21"/>
        </w:rPr>
        <w:t>在自回归时空预测中，模型通常使用历史目标场和环境变量预测未来目标场。当目标变量在短时间内具有较强连续性时，模型可能通过学习持久性或局部平滑规律降低训练误差。这种学习路径虽然有利于短期指标，但并不保证模型掌握真实物理机制。</w:t>
      </w:r>
    </w:p>
    <w:p>
      <w:pPr>
        <w:spacing w:before="0" w:after="80" w:line="288" w:lineRule="auto"/>
        <w:ind w:firstLine="420"/>
      </w:pPr>
      <w:r>
        <w:rPr>
          <w:rFonts w:ascii="Times New Roman" w:hAnsi="Times New Roman" w:eastAsia="Noto Serif CJK SC" w:cs="Times New Roman"/>
          <w:sz w:val="21"/>
        </w:rPr>
        <w:t>火星臭氧预测中的 shortcut learning 主要表现为：模型过度依赖前一时刻臭氧场，而低估风场、温度、辐射等环境变量的作用。由于臭氧场在短期内较为连续，复制或平滑历史臭氧可以获得较低一步误差；但随着预测步长增加，若模型没有学习到由 Ls 调制的大尺度环境变化，误差将逐步累积并导致 rollout instability。因此，缓解捷径学习的关键不是单纯增加模型复杂度，而是为模型提供能够表达季节非平稳性的物理归纳偏置。</w:t>
      </w:r>
    </w:p>
    <w:p>
      <w:pPr>
        <w:pStyle w:val="Heading2"/>
        <w:spacing w:before="160" w:after="120"/>
      </w:pPr>
      <w:r>
        <w:rPr>
          <w:rFonts w:ascii="Arial" w:hAnsi="Arial" w:eastAsia="Noto Sans CJK SC" w:cs="Arial"/>
          <w:b/>
          <w:sz w:val="24"/>
        </w:rPr>
        <w:t>2.4 问题形式化</w:t>
      </w:r>
    </w:p>
    <w:p>
      <w:pPr>
        <w:spacing w:before="0" w:after="80" w:line="288" w:lineRule="auto"/>
        <w:ind w:firstLine="420"/>
      </w:pPr>
      <w:r>
        <w:rPr>
          <w:rFonts w:ascii="Times New Roman" w:hAnsi="Times New Roman" w:eastAsia="Noto Serif CJK SC" w:cs="Times New Roman"/>
          <w:sz w:val="21"/>
        </w:rPr>
        <w:t>设 O_t ∈ R^(H_g×W_g) 表示时刻 t 的臭氧场，E_t ∈ R^(C×H_g×W_g) 表示对应环境变量场，l_t ∈ [0,2π) 表示弧度形式的太阳黄经。给定长度为 L 的历史窗口，目标是预测未来 H 个时间步的臭氧场：</w:t>
      </w:r>
    </w:p>
    <w:p>
      <w:pPr>
        <w:spacing w:before="80" w:after="80"/>
        <w:jc w:val="center"/>
      </w:pPr>
      <w:r>
        <w:rPr>
          <w:rFonts w:ascii="Cambria Math" w:hAnsi="Cambria Math" w:eastAsia="Noto Serif CJK SC" w:cs="Cambria Math"/>
          <w:sz w:val="21"/>
        </w:rPr>
        <w:t>Ô_{t+1:t+H} = F_θ(O_{t-L+1:t}, E_{t-L+1:t}, l_{t-L+1:t}, G_{t+1:t+H})    （1）</w:t>
      </w:r>
    </w:p>
    <w:p>
      <w:pPr>
        <w:spacing w:before="0" w:after="80" w:line="288" w:lineRule="auto"/>
        <w:ind w:firstLine="420"/>
      </w:pPr>
      <w:r>
        <w:rPr>
          <w:rFonts w:ascii="Times New Roman" w:hAnsi="Times New Roman" w:eastAsia="Noto Serif CJK SC" w:cs="Times New Roman"/>
          <w:sz w:val="21"/>
        </w:rPr>
        <w:t>其中，G_{t+1:t+H} 表示预测阶段可用的未来 GCM 环境场。模型需要同时学习短期臭氧连续性、季节非平稳映射以及长时程滚动预测中的误差控制。</w:t>
      </w:r>
    </w:p>
    <w:p>
      <w:pPr>
        <w:pStyle w:val="Heading1"/>
        <w:spacing w:before="240" w:after="160"/>
      </w:pPr>
      <w:r>
        <w:rPr>
          <w:rFonts w:ascii="Arial" w:hAnsi="Arial" w:eastAsia="Noto Sans CJK SC" w:cs="Arial"/>
          <w:b/>
          <w:sz w:val="28"/>
        </w:rPr>
        <w:t>3. 方法</w:t>
      </w:r>
    </w:p>
    <w:p>
      <w:pPr>
        <w:pStyle w:val="Heading2"/>
        <w:spacing w:before="160" w:after="120"/>
      </w:pPr>
      <w:r>
        <w:rPr>
          <w:rFonts w:ascii="Arial" w:hAnsi="Arial" w:eastAsia="Noto Sans CJK SC" w:cs="Arial"/>
          <w:b/>
          <w:sz w:val="24"/>
        </w:rPr>
        <w:t>3.1 整体框架</w:t>
      </w:r>
    </w:p>
    <w:p>
      <w:pPr>
        <w:spacing w:before="0" w:after="80" w:line="288" w:lineRule="auto"/>
        <w:ind w:firstLine="420"/>
      </w:pPr>
      <w:r>
        <w:rPr>
          <w:rFonts w:ascii="Times New Roman" w:hAnsi="Times New Roman" w:eastAsia="Noto Serif CJK SC" w:cs="Times New Roman"/>
          <w:sz w:val="21"/>
        </w:rPr>
        <w:t>本文方法的核心思想是将太阳黄经从普通时间标签提升为显式物理条件变量，并在数据进入预测骨干前完成季节性结构重构。整体框架可表示为：</w:t>
      </w:r>
    </w:p>
    <w:p>
      <w:pPr>
        <w:spacing w:before="80" w:after="80"/>
        <w:jc w:val="center"/>
      </w:pPr>
      <w:r>
        <w:rPr>
          <w:rFonts w:ascii="Cambria Math" w:hAnsi="Cambria Math" w:eastAsia="Noto Serif CJK SC" w:cs="Cambria Math"/>
          <w:sz w:val="21"/>
        </w:rPr>
        <w:t>Z_t = M_{Ls}(E_t, l_t) || B_{Ls}(O_t, l_t)    （2）</w:t>
      </w:r>
    </w:p>
    <w:p>
      <w:pPr>
        <w:spacing w:before="80" w:after="80"/>
        <w:jc w:val="center"/>
      </w:pPr>
      <w:r>
        <w:rPr>
          <w:rFonts w:ascii="Cambria Math" w:hAnsi="Cambria Math" w:eastAsia="Noto Serif CJK SC" w:cs="Cambria Math"/>
          <w:sz w:val="21"/>
        </w:rPr>
        <w:t>Ô_{t+1:t+H} = D_θ(Z_{t-L+1:t}, G_{t+1:t+H})    （3）</w:t>
      </w:r>
    </w:p>
    <w:p>
      <w:pPr>
        <w:spacing w:before="0" w:after="80" w:line="288" w:lineRule="auto"/>
        <w:ind w:firstLine="420"/>
      </w:pPr>
      <w:r>
        <w:rPr>
          <w:rFonts w:ascii="Times New Roman" w:hAnsi="Times New Roman" w:eastAsia="Noto Serif CJK SC" w:cs="Times New Roman"/>
          <w:sz w:val="21"/>
        </w:rPr>
        <w:t>其中，M_{Ls} 为太阳黄经引导的环境变量空间周期调制模块，B_{Ls} 为臭氧目标通道加性基线校正模块，D_θ 为下游时空预测骨干及其解码过程。</w:t>
      </w:r>
    </w:p>
    <w:p>
      <w:pPr>
        <w:spacing w:before="0" w:after="80" w:line="288" w:lineRule="auto"/>
        <w:ind w:firstLine="420"/>
      </w:pPr>
      <w:r>
        <w:rPr>
          <w:rFonts w:ascii="Times New Roman" w:hAnsi="Times New Roman" w:eastAsia="Noto Serif CJK SC" w:cs="Times New Roman"/>
          <w:sz w:val="21"/>
        </w:rPr>
        <w:t>该框架具有较好的模块化特征。调制模块负责处理季节非平稳性，基线校正模块负责处理目标通道背景漂移，动态强迫模块负责约束未来环境演化。三者分别对应火星臭氧预测中的三个主要误差来源：季节分支混叠、目标场背景-扰动混叠和长程 rollout 环境失配。</w:t>
      </w:r>
    </w:p>
    <w:p>
      <w:pPr>
        <w:pStyle w:val="Heading2"/>
        <w:spacing w:before="160" w:after="120"/>
      </w:pPr>
      <w:r>
        <w:rPr>
          <w:rFonts w:ascii="Arial" w:hAnsi="Arial" w:eastAsia="Noto Sans CJK SC" w:cs="Arial"/>
          <w:b/>
          <w:sz w:val="24"/>
        </w:rPr>
        <w:t>3.2 基线预测骨干</w:t>
      </w:r>
    </w:p>
    <w:p>
      <w:pPr>
        <w:spacing w:before="0" w:after="80" w:line="288" w:lineRule="auto"/>
        <w:ind w:firstLine="420"/>
      </w:pPr>
      <w:r>
        <w:rPr>
          <w:rFonts w:ascii="Times New Roman" w:hAnsi="Times New Roman" w:eastAsia="Noto Serif CJK SC" w:cs="Times New Roman"/>
          <w:sz w:val="21"/>
        </w:rPr>
        <w:t>本文以自回归时空预测网络作为基础框架，并以 PredRNN 作为主要实验骨干。PredRNN 通过循环记忆结构建模时空依赖，适用于连续场预测任务。然而，在缺乏有效物理条件输入时，该类模型仍可能退化为基于历史臭氧的惯性预测器。</w:t>
      </w:r>
    </w:p>
    <w:p>
      <w:pPr>
        <w:spacing w:before="0" w:after="80" w:line="288" w:lineRule="auto"/>
        <w:ind w:firstLine="420"/>
      </w:pPr>
      <w:r>
        <w:rPr>
          <w:rFonts w:ascii="Times New Roman" w:hAnsi="Times New Roman" w:eastAsia="Noto Serif CJK SC" w:cs="Times New Roman"/>
          <w:sz w:val="21"/>
        </w:rPr>
        <w:t>基线模型采用标准滚动预测流程：编码历史臭氧场与环境变量，预测下一时刻臭氧场，并将预测结果作为后续步骤输入。该方式在短期预测中能够利用目标场连续性，但在长程预测中容易出现误差累积。本文方法并不依赖特定骨干结构，而是将物理调制作为前端模块接入不同预测架构，以检验其跨架构泛化能力。</w:t>
      </w:r>
    </w:p>
    <w:p>
      <w:pPr>
        <w:pStyle w:val="Heading2"/>
        <w:spacing w:before="160" w:after="120"/>
      </w:pPr>
      <w:r>
        <w:rPr>
          <w:rFonts w:ascii="Arial" w:hAnsi="Arial" w:eastAsia="Noto Sans CJK SC" w:cs="Arial"/>
          <w:b/>
          <w:sz w:val="24"/>
        </w:rPr>
        <w:t>3.3 太阳黄经引导的空间周期调制</w:t>
      </w:r>
    </w:p>
    <w:p>
      <w:pPr>
        <w:pStyle w:val="Heading3"/>
        <w:spacing w:before="120" w:after="80"/>
      </w:pPr>
      <w:r>
        <w:rPr>
          <w:rFonts w:ascii="Arial" w:hAnsi="Arial" w:eastAsia="Noto Sans CJK SC" w:cs="Arial"/>
          <w:b/>
          <w:sz w:val="22"/>
        </w:rPr>
        <w:t>3.3.1 设计动机</w:t>
      </w:r>
    </w:p>
    <w:p>
      <w:pPr>
        <w:spacing w:before="0" w:after="80" w:line="288" w:lineRule="auto"/>
        <w:ind w:firstLine="420"/>
      </w:pPr>
      <w:r>
        <w:rPr>
          <w:rFonts w:ascii="Times New Roman" w:hAnsi="Times New Roman" w:eastAsia="Noto Serif CJK SC" w:cs="Times New Roman"/>
          <w:sz w:val="21"/>
        </w:rPr>
        <w:t>直接将 Ls 广播为全图常数通道并与输入变量拼接，是最简单的季节信息引入方式。然而，消融实验表明，该策略会导致性能下降。其原因在于，全局常数型 Ls 通道无法表达不同纬度和地理区域对季节相位的差异响应，同时可能干扰卷积或时空编码器对局部空间结构的提取。</w:t>
      </w:r>
    </w:p>
    <w:p>
      <w:pPr>
        <w:spacing w:before="0" w:after="80" w:line="288" w:lineRule="auto"/>
        <w:ind w:firstLine="420"/>
      </w:pPr>
      <w:r>
        <w:rPr>
          <w:rFonts w:ascii="Times New Roman" w:hAnsi="Times New Roman" w:eastAsia="Noto Serif CJK SC" w:cs="Times New Roman"/>
          <w:sz w:val="21"/>
        </w:rPr>
        <w:t>火星臭氧的季节响应具有明显空间异质性。极区、中纬和赤道区域受太阳辐照、极涡、热力潮汐和水汽输送的影响不同。因此，Ls 不应作为静态标量输入，而应作为生成空间条件场的驱动变量。</w:t>
      </w:r>
    </w:p>
    <w:p>
      <w:pPr>
        <w:pStyle w:val="Heading3"/>
        <w:spacing w:before="120" w:after="80"/>
      </w:pPr>
      <w:r>
        <w:rPr>
          <w:rFonts w:ascii="Arial" w:hAnsi="Arial" w:eastAsia="Noto Sans CJK SC" w:cs="Arial"/>
          <w:b/>
          <w:sz w:val="22"/>
        </w:rPr>
        <w:t>3.3.2 模块实现</w:t>
      </w:r>
    </w:p>
    <w:p>
      <w:pPr>
        <w:spacing w:before="0" w:after="80" w:line="288" w:lineRule="auto"/>
        <w:ind w:firstLine="420"/>
      </w:pPr>
      <w:r>
        <w:rPr>
          <w:rFonts w:ascii="Times New Roman" w:hAnsi="Times New Roman" w:eastAsia="Noto Serif CJK SC" w:cs="Times New Roman"/>
          <w:sz w:val="21"/>
        </w:rPr>
        <w:t>对于环境变量通道 E_{c,t}，构造由 Ls 驱动的空间周期调制：</w:t>
      </w:r>
    </w:p>
    <w:p>
      <w:pPr>
        <w:spacing w:before="80" w:after="80"/>
        <w:jc w:val="center"/>
      </w:pPr>
      <w:r>
        <w:rPr>
          <w:rFonts w:ascii="Cambria Math" w:hAnsi="Cambria Math" w:eastAsia="Noto Serif CJK SC" w:cs="Cambria Math"/>
          <w:sz w:val="21"/>
        </w:rPr>
        <w:t>M^sin_{c,t}(i,j) = A^sin_c(i,j) sin(Φ_{c,t}(i,j)) + b^sin_c(i,j)    （4）</w:t>
      </w:r>
    </w:p>
    <w:p>
      <w:pPr>
        <w:spacing w:before="80" w:after="80"/>
        <w:jc w:val="center"/>
      </w:pPr>
      <w:r>
        <w:rPr>
          <w:rFonts w:ascii="Cambria Math" w:hAnsi="Cambria Math" w:eastAsia="Noto Serif CJK SC" w:cs="Cambria Math"/>
          <w:sz w:val="21"/>
        </w:rPr>
        <w:t>M^cos_{c,t}(i,j) = A^cos_c(i,j) cos(Φ_{c,t}(i,j)) + b^cos_c(i,j)    （5）</w:t>
      </w:r>
    </w:p>
    <w:p>
      <w:pPr>
        <w:spacing w:before="80" w:after="80"/>
        <w:jc w:val="center"/>
      </w:pPr>
      <w:r>
        <w:rPr>
          <w:rFonts w:ascii="Cambria Math" w:hAnsi="Cambria Math" w:eastAsia="Noto Serif CJK SC" w:cs="Cambria Math"/>
          <w:sz w:val="21"/>
        </w:rPr>
        <w:t>Ẽ^sin_{c,t} = E_{c,t} ⊙ M^sin_{c,t},    Ẽ^cos_{c,t} = E_{c,t} ⊙ M^cos_{c,t}    （6）</w:t>
      </w:r>
    </w:p>
    <w:p>
      <w:pPr>
        <w:spacing w:before="0" w:after="80" w:line="288" w:lineRule="auto"/>
        <w:ind w:firstLine="420"/>
      </w:pPr>
      <w:r>
        <w:rPr>
          <w:rFonts w:ascii="Times New Roman" w:hAnsi="Times New Roman" w:eastAsia="Noto Serif CJK SC" w:cs="Times New Roman"/>
          <w:sz w:val="21"/>
        </w:rPr>
        <w:t>其中，Φ_{c,t}(i,j) 由太阳黄经、空间相位偏置和有界 phase warp 项共同决定。正弦和余弦双分支可避免 0°/360° 周期边界不连续问题，并增强对双模态和迟滞型季节关系的表达能力。最终实现中，该调制作用于纬向风、经向风、温度和太阳辐射相关 forcing 等环境变量，将 4 个环境通道扩展为 8 个季节感知通道。</w:t>
      </w:r>
    </w:p>
    <w:p>
      <w:pPr>
        <w:pStyle w:val="Heading3"/>
        <w:spacing w:before="120" w:after="80"/>
      </w:pPr>
      <w:r>
        <w:rPr>
          <w:rFonts w:ascii="Arial" w:hAnsi="Arial" w:eastAsia="Noto Sans CJK SC" w:cs="Arial"/>
          <w:b/>
          <w:sz w:val="22"/>
        </w:rPr>
        <w:t>3.3.3 模块作用</w:t>
      </w:r>
    </w:p>
    <w:p>
      <w:pPr>
        <w:spacing w:before="0" w:after="80" w:line="288" w:lineRule="auto"/>
        <w:ind w:firstLine="420"/>
      </w:pPr>
      <w:r>
        <w:rPr>
          <w:rFonts w:ascii="Times New Roman" w:hAnsi="Times New Roman" w:eastAsia="Noto Serif CJK SC" w:cs="Times New Roman"/>
          <w:sz w:val="21"/>
        </w:rPr>
        <w:t>该模块的作用是将季节相位转换为空间可分辨的物理条件信息，使模型能够区分不同季节阶段下的臭氧-环境变量映射关系。通过在输入层面降低非平稳性，模型不再完全依赖隐状态自行推断季节规律，从而减轻对历史臭氧场的捷径依赖。</w:t>
      </w:r>
    </w:p>
    <w:p>
      <w:pPr>
        <w:pStyle w:val="Heading2"/>
        <w:spacing w:before="160" w:after="120"/>
      </w:pPr>
      <w:r>
        <w:rPr>
          <w:rFonts w:ascii="Arial" w:hAnsi="Arial" w:eastAsia="Noto Sans CJK SC" w:cs="Arial"/>
          <w:b/>
          <w:sz w:val="24"/>
        </w:rPr>
        <w:t>3.4 臭氧目标通道加性基线校正</w:t>
      </w:r>
    </w:p>
    <w:p>
      <w:pPr>
        <w:spacing w:before="0" w:after="80" w:line="288" w:lineRule="auto"/>
        <w:ind w:firstLine="420"/>
      </w:pPr>
      <w:r>
        <w:rPr>
          <w:rFonts w:ascii="Times New Roman" w:hAnsi="Times New Roman" w:eastAsia="Noto Serif CJK SC" w:cs="Times New Roman"/>
          <w:sz w:val="21"/>
        </w:rPr>
        <w:t>环境变量适合采用乘性调制，因为它们在预测过程中起外部驱动作用；臭氧通道则不同，其既是历史输入，也是预测目标。若对臭氧通道采用与环境变量相同的乘性调制，可能破坏浓度尺度，并使模型同时承担季节背景漂移和短时扰动建模任务。</w:t>
      </w:r>
    </w:p>
    <w:p>
      <w:pPr>
        <w:spacing w:before="80" w:after="80"/>
        <w:jc w:val="center"/>
      </w:pPr>
      <w:r>
        <w:rPr>
          <w:rFonts w:ascii="Cambria Math" w:hAnsi="Cambria Math" w:eastAsia="Noto Serif CJK SC" w:cs="Cambria Math"/>
          <w:sz w:val="21"/>
        </w:rPr>
        <w:t>Õ_t = O_t + B_{Ls,t}    （7）</w:t>
      </w:r>
    </w:p>
    <w:p>
      <w:pPr>
        <w:spacing w:before="0" w:after="80" w:line="288" w:lineRule="auto"/>
        <w:ind w:firstLine="420"/>
      </w:pPr>
      <w:r>
        <w:rPr>
          <w:rFonts w:ascii="Times New Roman" w:hAnsi="Times New Roman" w:eastAsia="Noto Serif CJK SC" w:cs="Times New Roman"/>
          <w:sz w:val="21"/>
        </w:rPr>
        <w:t>其中，B_{Ls,t} 为由 Ls 生成的空间季节偏置场。该偏置场用于补偿臭氧随季节变化的缓慢背景项，使下游模型更集中地学习短期残差演化。为避免训练初期扰乱原始臭氧尺度，臭氧加性校正路径采用零初始化，使其初始状态等价于恒等映射。</w:t>
      </w:r>
    </w:p>
    <w:p>
      <w:pPr>
        <w:spacing w:before="0" w:after="80" w:line="288" w:lineRule="auto"/>
        <w:ind w:firstLine="420"/>
      </w:pPr>
      <w:r>
        <w:rPr>
          <w:rFonts w:ascii="Times New Roman" w:hAnsi="Times New Roman" w:eastAsia="Noto Serif CJK SC" w:cs="Times New Roman"/>
          <w:sz w:val="21"/>
        </w:rPr>
        <w:t>该设计相当于将臭氧历史输入分解为“季节基线 + 动态残差”。对于具有显著季节背景漂移的火星臭氧，该分解可降低目标通道建模难度，并改善短期预测稳定性。</w:t>
      </w:r>
    </w:p>
    <w:p>
      <w:pPr>
        <w:pStyle w:val="Heading2"/>
        <w:spacing w:before="160" w:after="120"/>
      </w:pPr>
      <w:r>
        <w:rPr>
          <w:rFonts w:ascii="Arial" w:hAnsi="Arial" w:eastAsia="Noto Sans CJK SC" w:cs="Arial"/>
          <w:b/>
          <w:sz w:val="24"/>
        </w:rPr>
        <w:t>3.5 解码端未来 GCM 动态强迫</w:t>
      </w:r>
    </w:p>
    <w:p>
      <w:pPr>
        <w:spacing w:before="0" w:after="80" w:line="288" w:lineRule="auto"/>
        <w:ind w:firstLine="420"/>
      </w:pPr>
      <w:r>
        <w:rPr>
          <w:rFonts w:ascii="Times New Roman" w:hAnsi="Times New Roman" w:eastAsia="Noto Serif CJK SC" w:cs="Times New Roman"/>
          <w:sz w:val="21"/>
        </w:rPr>
        <w:t>在多步自回归预测中，若解码端缺乏未来环境信息，模型往往只能重复使用最后一个观测时刻的环境场。这一静态环境假设在短期内影响有限，但在长程预测中会造成预测轨迹与真实大气背景逐步偏离。</w:t>
      </w:r>
    </w:p>
    <w:p>
      <w:pPr>
        <w:spacing w:before="0" w:after="80" w:line="288" w:lineRule="auto"/>
        <w:ind w:firstLine="420"/>
      </w:pPr>
      <w:r>
        <w:rPr>
          <w:rFonts w:ascii="Times New Roman" w:hAnsi="Times New Roman" w:eastAsia="Noto Serif CJK SC" w:cs="Times New Roman"/>
          <w:sz w:val="21"/>
        </w:rPr>
        <w:t>为缓解该问题，本文在每个解码步引入未来 GCM 场：</w:t>
      </w:r>
    </w:p>
    <w:p>
      <w:pPr>
        <w:spacing w:before="80" w:after="80"/>
        <w:jc w:val="center"/>
      </w:pPr>
      <w:r>
        <w:rPr>
          <w:rFonts w:ascii="Cambria Math" w:hAnsi="Cambria Math" w:eastAsia="Noto Serif CJK SC" w:cs="Cambria Math"/>
          <w:sz w:val="21"/>
        </w:rPr>
        <w:t>Ô_{t+h}, h_{t+h} = D_θ(Ô_{t+h-1}, h_{t+h-1}, G_{t+h}),    h = 1,...,H    （8）</w:t>
      </w:r>
    </w:p>
    <w:p>
      <w:pPr>
        <w:spacing w:before="0" w:after="80" w:line="288" w:lineRule="auto"/>
        <w:ind w:firstLine="420"/>
      </w:pPr>
      <w:r>
        <w:rPr>
          <w:rFonts w:ascii="Times New Roman" w:hAnsi="Times New Roman" w:eastAsia="Noto Serif CJK SC" w:cs="Times New Roman"/>
          <w:sz w:val="21"/>
        </w:rPr>
        <w:t>其中，G_{t+h} 为第 t+h 时刻由 GCM 或 MCD 提供的未来环境变量场。该机制不以数值模式替代深度学习模型，而是将未来大尺度环境演化作为边界条件或外部 forcing 注入解码过程。</w:t>
      </w:r>
    </w:p>
    <w:p>
      <w:pPr>
        <w:spacing w:before="0" w:after="80" w:line="288" w:lineRule="auto"/>
        <w:ind w:firstLine="420"/>
      </w:pPr>
      <w:r>
        <w:rPr>
          <w:rFonts w:ascii="Times New Roman" w:hAnsi="Times New Roman" w:eastAsia="Noto Serif CJK SC" w:cs="Times New Roman"/>
          <w:sz w:val="21"/>
        </w:rPr>
        <w:t>动态强迫主要面向长程 rollout stability。在短期预测中，未来环境变化幅度有限，额外 forcing 可能带来较小增益或轻微扰动；但在较长预测窗口内，该机制可显著降低环境失配导致的误差累积。</w:t>
      </w:r>
    </w:p>
    <w:p>
      <w:pPr>
        <w:pStyle w:val="Heading2"/>
        <w:spacing w:before="160" w:after="120"/>
      </w:pPr>
      <w:r>
        <w:rPr>
          <w:rFonts w:ascii="Arial" w:hAnsi="Arial" w:eastAsia="Noto Sans CJK SC" w:cs="Arial"/>
          <w:b/>
          <w:sz w:val="24"/>
        </w:rPr>
        <w:t>3.6 实现细节</w:t>
      </w:r>
    </w:p>
    <w:p>
      <w:pPr>
        <w:spacing w:before="0" w:after="80" w:line="288" w:lineRule="auto"/>
        <w:ind w:firstLine="420"/>
      </w:pPr>
      <w:r>
        <w:rPr>
          <w:rFonts w:ascii="Times New Roman" w:hAnsi="Times New Roman" w:eastAsia="Noto Serif CJK SC" w:cs="Times New Roman"/>
          <w:sz w:val="21"/>
        </w:rPr>
        <w:t>模型的空间分辨率、时间间隔、输入变量标准化方式、优化器、学习率、batch size、权重衰减、隐藏层维度、训练轮次和 early stopping 策略为[待补充]。根据项目实现，环境变量调制路径中的振幅参数初始化为接近恒等映射，相位偏置和形变参数初始化为 0；臭氧加性基线校正路径全部零初始化。最终输入由 8 个周期调制后的环境通道和 1 个加性校正后的臭氧通道组成，共 9 个输入通道。</w:t>
      </w:r>
    </w:p>
    <w:p>
      <w:pPr>
        <w:pStyle w:val="Heading1"/>
        <w:spacing w:before="240" w:after="160"/>
      </w:pPr>
      <w:r>
        <w:rPr>
          <w:rFonts w:ascii="Arial" w:hAnsi="Arial" w:eastAsia="Noto Sans CJK SC" w:cs="Arial"/>
          <w:b/>
          <w:sz w:val="28"/>
        </w:rPr>
        <w:t>4. 实验设置</w:t>
      </w:r>
    </w:p>
    <w:p>
      <w:pPr>
        <w:pStyle w:val="Heading2"/>
        <w:spacing w:before="160" w:after="120"/>
      </w:pPr>
      <w:r>
        <w:rPr>
          <w:rFonts w:ascii="Arial" w:hAnsi="Arial" w:eastAsia="Noto Sans CJK SC" w:cs="Arial"/>
          <w:b/>
          <w:sz w:val="24"/>
        </w:rPr>
        <w:t>4.1 数据集与预处理</w:t>
      </w:r>
    </w:p>
    <w:p>
      <w:pPr>
        <w:spacing w:before="0" w:after="80" w:line="288" w:lineRule="auto"/>
        <w:ind w:firstLine="420"/>
      </w:pPr>
      <w:r>
        <w:rPr>
          <w:rFonts w:ascii="Times New Roman" w:hAnsi="Times New Roman" w:eastAsia="Noto Serif CJK SC" w:cs="Times New Roman"/>
          <w:sz w:val="21"/>
        </w:rPr>
        <w:t>实验数据由 OpenMars 臭氧场和 GCM/MCD 环境场构成。臭氧场作为预测目标，环境变量包括纬向风、经向风、温度、太阳辐射相关 forcing 等。未来 GCM 场在解码端动态强迫实验中作为已知未来输入使用。数据通过滑窗方式构建为多步时空预测样本，并采用时间因果约束以避免未来信息泄露。</w:t>
      </w:r>
    </w:p>
    <w:p>
      <w:pPr>
        <w:spacing w:before="0" w:after="80" w:line="288" w:lineRule="auto"/>
        <w:ind w:firstLine="420"/>
      </w:pPr>
      <w:r>
        <w:rPr>
          <w:rFonts w:ascii="Times New Roman" w:hAnsi="Times New Roman" w:eastAsia="Noto Serif CJK SC" w:cs="Times New Roman"/>
          <w:sz w:val="21"/>
        </w:rPr>
        <w:t>数据集具体时间范围、空间网格分辨率、样本数量、缺失值处理、掩膜策略和归一化方式为[待补充]。</w:t>
      </w:r>
    </w:p>
    <w:p>
      <w:pPr>
        <w:pStyle w:val="Heading2"/>
        <w:spacing w:before="160" w:after="120"/>
      </w:pPr>
      <w:r>
        <w:rPr>
          <w:rFonts w:ascii="Arial" w:hAnsi="Arial" w:eastAsia="Noto Sans CJK SC" w:cs="Arial"/>
          <w:b/>
          <w:sz w:val="24"/>
        </w:rPr>
        <w:t>4.2 训练、验证与测试协议</w:t>
      </w:r>
    </w:p>
    <w:p>
      <w:pPr>
        <w:spacing w:before="0" w:after="80" w:line="288" w:lineRule="auto"/>
        <w:ind w:firstLine="420"/>
      </w:pPr>
      <w:r>
        <w:rPr>
          <w:rFonts w:ascii="Times New Roman" w:hAnsi="Times New Roman" w:eastAsia="Noto Serif CJK SC" w:cs="Times New Roman"/>
          <w:sz w:val="21"/>
        </w:rPr>
        <w:t>训练集、验证集和测试集应按时间顺序划分，以保持预测任务的时间因果性。已报告实验包括短期预测设置和长程 rollout 设置。短期预测中，输入窗口为 3，预测窗口为 3，训练轮次为 10；长程预测中，输入窗口为 3，预测窗口为 10，训练轮次为 10；另有延长训练至 69 个 epoch 的短期预测结果。具体年份划分、验证集比例、模型选择标准和重复实验次数为[待补充]。</w:t>
      </w:r>
    </w:p>
    <w:p>
      <w:pPr>
        <w:pStyle w:val="Heading2"/>
        <w:spacing w:before="160" w:after="120"/>
      </w:pPr>
      <w:r>
        <w:rPr>
          <w:rFonts w:ascii="Arial" w:hAnsi="Arial" w:eastAsia="Noto Sans CJK SC" w:cs="Arial"/>
          <w:b/>
          <w:sz w:val="24"/>
        </w:rPr>
        <w:t>4.3 评价指标</w:t>
      </w:r>
    </w:p>
    <w:p>
      <w:pPr>
        <w:spacing w:before="0" w:after="80" w:line="288" w:lineRule="auto"/>
        <w:ind w:firstLine="420"/>
      </w:pPr>
      <w:r>
        <w:rPr>
          <w:rFonts w:ascii="Times New Roman" w:hAnsi="Times New Roman" w:eastAsia="Noto Serif CJK SC" w:cs="Times New Roman"/>
          <w:sz w:val="21"/>
        </w:rPr>
        <w:t>模型性能采用 RMSE、MAE、决定系数 R² 和 sMAPE 评价。RMSE 衡量整体误差幅度，MAE 衡量平均绝对偏差，R² 衡量方差解释能力，sMAPE 衡量相对误差并降低极端尺度差异影响。指标计算中的空间平均方式、时间平均顺序、纬度加权及掩膜处理为[待补充]。</w:t>
      </w:r>
    </w:p>
    <w:p>
      <w:pPr>
        <w:pStyle w:val="Heading2"/>
        <w:spacing w:before="160" w:after="120"/>
      </w:pPr>
      <w:r>
        <w:rPr>
          <w:rFonts w:ascii="Arial" w:hAnsi="Arial" w:eastAsia="Noto Sans CJK SC" w:cs="Arial"/>
          <w:b/>
          <w:sz w:val="24"/>
        </w:rPr>
        <w:t>4.4 消融实验设计</w:t>
      </w:r>
    </w:p>
    <w:p>
      <w:pPr>
        <w:spacing w:before="0" w:after="80" w:line="288" w:lineRule="auto"/>
        <w:ind w:firstLine="420"/>
      </w:pPr>
      <w:r>
        <w:rPr>
          <w:rFonts w:ascii="Times New Roman" w:hAnsi="Times New Roman" w:eastAsia="Noto Serif CJK SC" w:cs="Times New Roman"/>
          <w:sz w:val="21"/>
        </w:rPr>
        <w:t>本文设置六个阶段进行消融分析：</w:t>
      </w:r>
    </w:p>
    <w:p>
      <w:pPr>
        <w:spacing w:before="160" w:after="80"/>
        <w:jc w:val="center"/>
      </w:pPr>
      <w:r>
        <w:rPr>
          <w:rFonts w:ascii="Times New Roman" w:hAnsi="Times New Roman" w:eastAsia="Noto Serif CJK SC" w:cs="Times New Roman"/>
          <w:b/>
          <w:sz w:val="21"/>
        </w:rPr>
        <w:t>表 1  消融实验阶段设置</w:t>
      </w:r>
    </w:p>
    <w:tbl>
      <w:tblPr>
        <w:tblStyle w:val="TableGrid"/>
        <w:tblW w:type="dxa" w:w="9000"/>
        <w:jc w:val="center"/>
        <w:tblLayout w:type="fixed"/>
        <w:tblLook w:firstColumn="1" w:firstRow="1" w:lastColumn="0" w:lastRow="0" w:noHBand="0" w:noVBand="1" w:val="04A0"/>
      </w:tblPr>
      <w:tblGrid>
        <w:gridCol w:w="1250"/>
        <w:gridCol w:w="7750"/>
      </w:tblGrid>
      <w:tr>
        <w:trPr>
          <w:trHeight w:val="369"/>
          <w:cantSplit/>
          <w:tblHeader w:val="true"/>
        </w:trPr>
        <w:tc>
          <w:tcPr>
            <w:tcW w:type="dxa" w:w="12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7"/>
              </w:rPr>
            </w:r>
            <w:r>
              <w:rPr>
                <w:rFonts w:ascii="Times New Roman" w:hAnsi="Times New Roman" w:eastAsia="??" w:cs="Times New Roman"/>
                <w:b/>
                <w:sz w:val="17"/>
              </w:rPr>
              <w:t>阶段</w:t>
            </w:r>
          </w:p>
        </w:tc>
        <w:tc>
          <w:tcPr>
            <w:tcW w:type="dxa" w:w="77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7"/>
              </w:rPr>
            </w:r>
            <w:r>
              <w:rPr>
                <w:rFonts w:ascii="Times New Roman" w:hAnsi="Times New Roman" w:eastAsia="??" w:cs="Times New Roman"/>
                <w:b/>
                <w:sz w:val="17"/>
              </w:rPr>
              <w:t>模型设置</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I</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基础预测骨干，无 Ls 调制</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II</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直接拼接标量 Ls 通道</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III</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引入太阳黄经引导的空间周期调制</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IV</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在阶段 III 基础上加入解码端未来 GCM 动态强迫</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V</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引入臭氧目标通道加性基线校正</w:t>
            </w:r>
          </w:p>
        </w:tc>
      </w:tr>
      <w:tr>
        <w:trPr>
          <w:trHeight w:val="369"/>
          <w:cantSplit/>
        </w:trPr>
        <w:tc>
          <w:tcPr>
            <w:tcW w:type="dxa" w:w="12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阶段 VI</w:t>
            </w:r>
          </w:p>
        </w:tc>
        <w:tc>
          <w:tcPr>
            <w:tcW w:type="dxa" w:w="77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7"/>
              </w:rPr>
            </w:r>
            <w:r>
              <w:rPr>
                <w:rFonts w:ascii="Times New Roman" w:hAnsi="Times New Roman" w:eastAsia="??" w:cs="Times New Roman"/>
                <w:b w:val="0"/>
                <w:sz w:val="17"/>
              </w:rPr>
              <w:t>完整 SSM 框架</w:t>
            </w:r>
          </w:p>
        </w:tc>
      </w:tr>
    </w:tbl>
    <w:p>
      <w:pPr>
        <w:spacing w:before="0" w:after="80" w:line="288" w:lineRule="auto"/>
        <w:ind w:firstLine="420"/>
      </w:pPr>
      <w:r>
        <w:rPr>
          <w:rFonts w:ascii="Times New Roman" w:hAnsi="Times New Roman" w:eastAsia="Noto Serif CJK SC" w:cs="Times New Roman"/>
          <w:sz w:val="21"/>
        </w:rPr>
        <w:t>该消融设计用于区分季节输入方式、目标通道校正和未来 forcing 对不同预测尺度的贡献。</w:t>
      </w:r>
    </w:p>
    <w:p>
      <w:pPr>
        <w:pStyle w:val="Heading2"/>
        <w:spacing w:before="160" w:after="120"/>
      </w:pPr>
      <w:r>
        <w:rPr>
          <w:rFonts w:ascii="Arial" w:hAnsi="Arial" w:eastAsia="Noto Sans CJK SC" w:cs="Arial"/>
          <w:b/>
          <w:sz w:val="24"/>
        </w:rPr>
        <w:t>4.5 跨架构基准实验</w:t>
      </w:r>
    </w:p>
    <w:p>
      <w:pPr>
        <w:spacing w:before="0" w:after="80" w:line="288" w:lineRule="auto"/>
        <w:ind w:firstLine="420"/>
      </w:pPr>
      <w:r>
        <w:rPr>
          <w:rFonts w:ascii="Times New Roman" w:hAnsi="Times New Roman" w:eastAsia="宋体"/>
          <w:sz w:val="21"/>
        </w:rPr>
        <w:t>为评估方法的泛化能力，将所提出的物理前端接入 20 种异构预测架构，覆盖纯时间序列模型与显式时空模型两类。已完成并纳入统计的模型包括 Pyraformer、NHITS、Autoformer、NBEATS、DLinear、Informer、TimeMixer、ETSformer、ConvLSTM、TSMixer、TimeXer、PredRNNv2、Crossformer、MAU、FEDformer、PredRNNPP、iTransformer、Earthformer、SimVP 和 PatchTST。所有模型均采用 Raw 与 PhaseWarp 两组受控对照，并使用相同数据划分、标准化流程和评价指标；TimesNet 日志当前为空，因此未纳入本轮统计。</w:t>
      </w:r>
    </w:p>
    <w:p>
      <w:pPr>
        <w:pStyle w:val="Heading1"/>
        <w:spacing w:before="240" w:after="160"/>
      </w:pPr>
      <w:r>
        <w:rPr>
          <w:rFonts w:ascii="Arial" w:hAnsi="Arial" w:eastAsia="Noto Sans CJK SC" w:cs="Arial"/>
          <w:b/>
          <w:sz w:val="28"/>
        </w:rPr>
        <w:t>5. 结果与分析</w:t>
      </w:r>
    </w:p>
    <w:p>
      <w:pPr>
        <w:pStyle w:val="Heading2"/>
        <w:spacing w:before="160" w:after="120"/>
      </w:pPr>
      <w:r>
        <w:rPr>
          <w:rFonts w:ascii="Arial" w:hAnsi="Arial" w:eastAsia="Noto Sans CJK SC" w:cs="Arial"/>
          <w:b/>
          <w:sz w:val="24"/>
        </w:rPr>
        <w:t>5.1 短期预测性能</w:t>
      </w:r>
    </w:p>
    <w:p>
      <w:pPr>
        <w:spacing w:before="0" w:after="80" w:line="288" w:lineRule="auto"/>
        <w:ind w:firstLine="420"/>
      </w:pPr>
      <w:r>
        <w:rPr>
          <w:rFonts w:ascii="Times New Roman" w:hAnsi="Times New Roman" w:eastAsia="Noto Serif CJK SC" w:cs="Times New Roman"/>
          <w:sz w:val="21"/>
        </w:rPr>
        <w:t>表 2 给出了 H=3 短期预测设置下的消融结果。</w:t>
      </w:r>
    </w:p>
    <w:p>
      <w:pPr>
        <w:spacing w:before="160" w:after="80"/>
        <w:jc w:val="center"/>
      </w:pPr>
      <w:r>
        <w:rPr>
          <w:rFonts w:ascii="Times New Roman" w:hAnsi="Times New Roman" w:eastAsia="Noto Serif CJK SC" w:cs="Times New Roman"/>
          <w:b/>
          <w:sz w:val="21"/>
        </w:rPr>
        <w:t>表 2  短期预测（H=3）消融结果</w:t>
      </w:r>
    </w:p>
    <w:tbl>
      <w:tblPr>
        <w:tblStyle w:val="TableGrid"/>
        <w:tblW w:type="dxa" w:w="9000"/>
        <w:jc w:val="center"/>
        <w:tblLayout w:type="fixed"/>
        <w:tblLook w:firstColumn="1" w:firstRow="1" w:lastColumn="0" w:lastRow="0" w:noHBand="0" w:noVBand="1" w:val="04A0"/>
      </w:tblPr>
      <w:tblGrid>
        <w:gridCol w:w="1100"/>
        <w:gridCol w:w="3200"/>
        <w:gridCol w:w="1150"/>
        <w:gridCol w:w="1150"/>
        <w:gridCol w:w="1050"/>
        <w:gridCol w:w="1350"/>
      </w:tblGrid>
      <w:tr>
        <w:trPr>
          <w:trHeight w:val="369"/>
          <w:cantSplit/>
          <w:tblHeader w:val="true"/>
        </w:trPr>
        <w:tc>
          <w:tcPr>
            <w:tcW w:type="dxa" w:w="11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模型阶段</w:t>
            </w:r>
          </w:p>
        </w:tc>
        <w:tc>
          <w:tcPr>
            <w:tcW w:type="dxa" w:w="32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核心机制</w:t>
            </w:r>
          </w:p>
        </w:tc>
        <w:tc>
          <w:tcPr>
            <w:tcW w:type="dxa" w:w="11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RMSE ↓</w:t>
            </w:r>
          </w:p>
        </w:tc>
        <w:tc>
          <w:tcPr>
            <w:tcW w:type="dxa" w:w="11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MAE ↓</w:t>
            </w:r>
          </w:p>
        </w:tc>
        <w:tc>
          <w:tcPr>
            <w:tcW w:type="dxa" w:w="10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R² ↑</w:t>
            </w:r>
          </w:p>
        </w:tc>
        <w:tc>
          <w:tcPr>
            <w:tcW w:type="dxa" w:w="13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sMAPE ↓</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基础模型</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1.7083</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1.0655</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0.9185</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31.38%</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标量 Ls 拼接</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1.9189</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1.1657</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0.8972</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35.28%</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III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空间周期调制</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1.3758</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0.8929</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0.9471</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31.16%</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IV</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空间周期调制 + 未来 GCM 强迫</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1.4920</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0.9614</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0.9378</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31.33%</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V</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加性目标通道校正</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1.3870</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0.8867</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0.9463</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30.36%</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VI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完整 SSM 框架</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1.3299</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0.8540</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0.9506</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29.71%</w:t>
            </w:r>
          </w:p>
        </w:tc>
      </w:tr>
    </w:tbl>
    <w:p>
      <w:pPr>
        <w:spacing w:before="0" w:after="80" w:line="288" w:lineRule="auto"/>
        <w:ind w:firstLine="420"/>
      </w:pPr>
      <w:r>
        <w:rPr>
          <w:rFonts w:ascii="Times New Roman" w:hAnsi="Times New Roman" w:eastAsia="Noto Serif CJK SC" w:cs="Times New Roman"/>
          <w:sz w:val="21"/>
        </w:rPr>
        <w:t>结果表明，直接拼接标量 Ls 不能有效表达季节信息，反而导致性能下降。相比之下，空间周期调制显著降低 RMSE，并提高 R²，说明以空间异质方式注入太阳黄经能够有效缓解季节非平稳性。阶段 V 和阶段 VI 进一步表明，臭氧目标通道的加性基线校正有助于改善目标变量建模，完整框架在短期预测中取得最优综合表现。</w:t>
      </w:r>
    </w:p>
    <w:p>
      <w:pPr>
        <w:spacing w:before="0" w:after="80" w:line="288" w:lineRule="auto"/>
        <w:ind w:firstLine="420"/>
      </w:pPr>
      <w:r>
        <w:rPr>
          <w:rFonts w:ascii="Times New Roman" w:hAnsi="Times New Roman" w:eastAsia="Noto Serif CJK SC" w:cs="Times New Roman"/>
          <w:sz w:val="21"/>
        </w:rPr>
        <w:t>从机制上看，短期预测性能的提升主要来自输入表示的物理重构。空间周期调制使模型能够区分不同季节分支下环境变量对臭氧的作用方式，从而减少对历史臭氧持久性的依赖。加性基线校正进一步降低了季节背景漂移对主预测路径的干扰，使模型更易捕捉短时扰动。</w:t>
      </w:r>
    </w:p>
    <w:p>
      <w:r>
        <w:br w:type="page"/>
      </w:r>
    </w:p>
    <w:p>
      <w:pPr>
        <w:pStyle w:val="Heading2"/>
        <w:spacing w:before="160" w:after="120"/>
      </w:pPr>
      <w:r>
        <w:rPr>
          <w:rFonts w:ascii="Arial" w:hAnsi="Arial" w:eastAsia="Noto Sans CJK SC" w:cs="Arial"/>
          <w:b/>
          <w:sz w:val="24"/>
        </w:rPr>
        <w:t>5.2 长程滚动预测性能</w:t>
      </w:r>
    </w:p>
    <w:p>
      <w:pPr>
        <w:spacing w:before="0" w:after="80" w:line="288" w:lineRule="auto"/>
        <w:ind w:firstLine="420"/>
      </w:pPr>
      <w:r>
        <w:rPr>
          <w:rFonts w:ascii="Times New Roman" w:hAnsi="Times New Roman" w:eastAsia="Noto Serif CJK SC" w:cs="Times New Roman"/>
          <w:sz w:val="21"/>
        </w:rPr>
        <w:t>表 3 给出了 H=10 长程 rollout 设置下的结果。</w:t>
      </w:r>
    </w:p>
    <w:p>
      <w:pPr>
        <w:spacing w:before="160" w:after="80"/>
        <w:jc w:val="center"/>
      </w:pPr>
      <w:r>
        <w:rPr>
          <w:rFonts w:ascii="Times New Roman" w:hAnsi="Times New Roman" w:eastAsia="Noto Serif CJK SC" w:cs="Times New Roman"/>
          <w:b/>
          <w:sz w:val="21"/>
        </w:rPr>
        <w:t>表 3  长程滚动预测（H=10）结果</w:t>
      </w:r>
    </w:p>
    <w:tbl>
      <w:tblPr>
        <w:tblStyle w:val="TableGrid"/>
        <w:tblW w:type="dxa" w:w="9000"/>
        <w:jc w:val="center"/>
        <w:tblLayout w:type="fixed"/>
        <w:tblLook w:firstColumn="1" w:firstRow="1" w:lastColumn="0" w:lastRow="0" w:noHBand="0" w:noVBand="1" w:val="04A0"/>
      </w:tblPr>
      <w:tblGrid>
        <w:gridCol w:w="1100"/>
        <w:gridCol w:w="3200"/>
        <w:gridCol w:w="1150"/>
        <w:gridCol w:w="1150"/>
        <w:gridCol w:w="1050"/>
        <w:gridCol w:w="1350"/>
      </w:tblGrid>
      <w:tr>
        <w:trPr>
          <w:trHeight w:val="369"/>
          <w:cantSplit/>
          <w:tblHeader w:val="true"/>
        </w:trPr>
        <w:tc>
          <w:tcPr>
            <w:tcW w:type="dxa" w:w="11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模型阶段</w:t>
            </w:r>
          </w:p>
        </w:tc>
        <w:tc>
          <w:tcPr>
            <w:tcW w:type="dxa" w:w="32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核心机制</w:t>
            </w:r>
          </w:p>
        </w:tc>
        <w:tc>
          <w:tcPr>
            <w:tcW w:type="dxa" w:w="11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RMSE ↓</w:t>
            </w:r>
          </w:p>
        </w:tc>
        <w:tc>
          <w:tcPr>
            <w:tcW w:type="dxa" w:w="11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MAE ↓</w:t>
            </w:r>
          </w:p>
        </w:tc>
        <w:tc>
          <w:tcPr>
            <w:tcW w:type="dxa" w:w="10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R² ↑</w:t>
            </w:r>
          </w:p>
        </w:tc>
        <w:tc>
          <w:tcPr>
            <w:tcW w:type="dxa" w:w="13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6"/>
              </w:rPr>
            </w:r>
            <w:r>
              <w:rPr>
                <w:rFonts w:ascii="Times New Roman" w:hAnsi="Times New Roman" w:eastAsia="??" w:cs="Times New Roman"/>
                <w:b/>
                <w:sz w:val="16"/>
              </w:rPr>
              <w:t>sMAPE ↓</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基础模型</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2.3801</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1.3933</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0.8422</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36.23%</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III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空间周期调制</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2.0247</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1.2015</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0.8858</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33.11%</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IV</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空间周期调制 + 未来 GCM 强迫</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1.9393</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1.1443</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0.8953</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32.67%</w:t>
            </w:r>
          </w:p>
        </w:tc>
      </w:tr>
      <w:tr>
        <w:trPr>
          <w:trHeight w:val="369"/>
          <w:cantSplit/>
        </w:trPr>
        <w:tc>
          <w:tcPr>
            <w:tcW w:type="dxa" w:w="1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阶段 VI</w:t>
            </w:r>
          </w:p>
        </w:tc>
        <w:tc>
          <w:tcPr>
            <w:tcW w:type="dxa" w:w="32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完整 SSM 框架</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1.9483</w:t>
            </w:r>
          </w:p>
        </w:tc>
        <w:tc>
          <w:tcPr>
            <w:tcW w:type="dxa" w:w="11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1.1479</w:t>
            </w:r>
          </w:p>
        </w:tc>
        <w:tc>
          <w:tcPr>
            <w:tcW w:type="dxa" w:w="10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0.8943</w:t>
            </w:r>
          </w:p>
        </w:tc>
        <w:tc>
          <w:tcPr>
            <w:tcW w:type="dxa" w:w="13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6"/>
              </w:rPr>
            </w:r>
            <w:r>
              <w:rPr>
                <w:rFonts w:ascii="Times New Roman" w:hAnsi="Times New Roman" w:eastAsia="??" w:cs="Times New Roman"/>
                <w:b w:val="0"/>
                <w:sz w:val="16"/>
              </w:rPr>
              <w:t>32.94%</w:t>
            </w:r>
          </w:p>
        </w:tc>
      </w:tr>
    </w:tbl>
    <w:p>
      <w:pPr>
        <w:spacing w:before="0" w:after="80" w:line="288" w:lineRule="auto"/>
        <w:ind w:firstLine="420"/>
      </w:pPr>
      <w:r>
        <w:rPr>
          <w:rFonts w:ascii="Times New Roman" w:hAnsi="Times New Roman" w:eastAsia="Noto Serif CJK SC" w:cs="Times New Roman"/>
          <w:sz w:val="21"/>
        </w:rPr>
        <w:t>长程结果显示，基础模型在多步预测中误差明显累积。引入空间周期调制后，RMSE 从 2.3801 降至 2.0247，说明季节调制仍是长程预测的重要基础。进一步引入未来 GCM 动态强迫后，RMSE 降至 1.9393，取得该设置下最优结果，表明动态 forcing 对长时程 rollout stability 具有关键作用。</w:t>
      </w:r>
    </w:p>
    <w:p>
      <w:pPr>
        <w:spacing w:before="0" w:after="80" w:line="288" w:lineRule="auto"/>
        <w:ind w:firstLine="420"/>
      </w:pPr>
      <w:r>
        <w:rPr>
          <w:rFonts w:ascii="Times New Roman" w:hAnsi="Times New Roman" w:eastAsia="Noto Serif CJK SC" w:cs="Times New Roman"/>
          <w:sz w:val="21"/>
        </w:rPr>
        <w:t>值得注意的是，完整 SSM 模型在该长程实验中的 RMSE 为 1.9483，略高于阶段 IV。这说明不同模块在长程预测中的相互作用仍受训练策略和优化条件影响。该结果并不削弱动态强迫的重要性，而是提示未来需要进一步研究多模块联合训练、损失权重和长程监督策略。</w:t>
      </w:r>
    </w:p>
    <w:p>
      <w:pPr>
        <w:pStyle w:val="Heading2"/>
        <w:spacing w:before="160" w:after="120"/>
      </w:pPr>
      <w:r>
        <w:rPr>
          <w:rFonts w:ascii="Times New Roman" w:hAnsi="Times New Roman" w:eastAsia="宋体"/>
          <w:sz w:val="21"/>
        </w:rPr>
        <w:t>5.3 模型消融与跨架构泛化能力</w:t>
      </w:r>
    </w:p>
    <w:p>
      <w:pPr>
        <w:spacing w:before="0" w:after="80" w:line="288" w:lineRule="auto"/>
        <w:ind w:firstLine="420"/>
      </w:pPr>
      <w:r>
        <w:rPr>
          <w:rFonts w:ascii="Times New Roman" w:hAnsi="Times New Roman" w:eastAsia="宋体"/>
          <w:sz w:val="21"/>
        </w:rPr>
        <w:t>表 4 汇总了 20 个有效模型的 Raw 与 PhaseWarp 对照结果。</w:t>
      </w:r>
    </w:p>
    <w:p>
      <w:pPr>
        <w:spacing w:before="160" w:after="80"/>
        <w:jc w:val="center"/>
      </w:pPr>
      <w:r>
        <w:rPr>
          <w:rFonts w:ascii="Times New Roman" w:hAnsi="Times New Roman" w:eastAsia="宋体"/>
          <w:sz w:val="21"/>
        </w:rPr>
        <w:t>表 4  跨 20 种预测架构的 PhaseWarp 模型消融结果</w:t>
      </w:r>
    </w:p>
    <w:tbl>
      <w:tblPr>
        <w:tblStyle w:val="TableGrid"/>
        <w:tblW w:type="dxa" w:w="8750"/>
        <w:jc w:val="center"/>
        <w:tblLayout w:type="fixed"/>
        <w:tblLook w:firstColumn="1" w:firstRow="1" w:lastColumn="0" w:lastRow="0" w:noHBand="0" w:noVBand="1" w:val="04A0"/>
      </w:tblPr>
      <w:tblGrid>
        <w:gridCol w:w="1500"/>
        <w:gridCol w:w="650"/>
        <w:gridCol w:w="2100"/>
        <w:gridCol w:w="1300"/>
        <w:gridCol w:w="1700"/>
        <w:gridCol w:w="1500"/>
      </w:tblGrid>
      <w:tr>
        <w:trPr>
          <w:trHeight w:val="369"/>
          <w:cantSplit/>
          <w:tblHeader w:val="true"/>
          <w:tblHeader w:val="true"/>
        </w:trPr>
        <w:tc>
          <w:tcPr>
            <w:tcW w:type="dxa" w:w="15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模型</w:t>
            </w:r>
          </w:p>
        </w:tc>
        <w:tc>
          <w:tcPr>
            <w:tcW w:type="dxa" w:w="65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类型</w:t>
            </w:r>
          </w:p>
        </w:tc>
        <w:tc>
          <w:tcPr>
            <w:tcW w:type="dxa" w:w="21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RMSE Raw→PhaseWarp</w:t>
            </w:r>
          </w:p>
        </w:tc>
        <w:tc>
          <w:tcPr>
            <w:tcW w:type="dxa" w:w="1300"/>
            <w:vAlign w:val="center"/>
            <w:shd w:fill="D9EAF7"/>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RMSE提升率</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R²误差减小率</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b/>
                <w:sz w:val="15"/>
              </w:rPr>
            </w:r>
            <w:r>
              <w:rPr>
                <w:rFonts w:ascii="Times New Roman" w:hAnsi="Times New Roman" w:eastAsia="??"/>
                <w:b/>
                <w:sz w:val="15"/>
              </w:rPr>
              <w:t>sMAPE提升(pp)</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Pyraformer</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3.9756→3.1405</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21.01%</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37.59%</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+4.50</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NHITS</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4.0593→3.4069</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16.07%</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29.56%</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+10.60</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Autoformer</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4.0571→3.4326</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15.39%</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28.42%</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+1.27</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NBEATS</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3.6325→3.0787</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15.25%</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28.17%</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+2.52</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DLinear</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4.2104→3.7157</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11.75%</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22.12%</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-8.02</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Informer</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3.8995→3.4266</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12.13%</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22.77%</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-0.67</w:t>
            </w:r>
          </w:p>
        </w:tc>
      </w:tr>
      <w:tr>
        <w:trPr>
          <w:trHeight w:val="369"/>
          <w:cantSplit/>
        </w:trPr>
        <w:tc>
          <w:tcPr>
            <w:tcW w:type="dxa" w:w="1500"/>
            <w:vAlign w:val="center"/>
            <w:tcMar>
              <w:top w:w="70" w:type="dxa"/>
              <w:left w:w="80" w:type="dxa"/>
              <w:bottom w:w="70" w:type="dxa"/>
              <w:right w:w="80" w:type="dxa"/>
              <w:start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TimeMixer</w:t>
            </w:r>
          </w:p>
        </w:tc>
        <w:tc>
          <w:tcPr>
            <w:tcW w:type="dxa" w:w="65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3.9161→3.4862</w:t>
            </w:r>
          </w:p>
        </w:tc>
        <w:tc>
          <w:tcPr>
            <w:tcW w:type="dxa" w:w="1300"/>
            <w:vAlign w:val="center"/>
            <w:tcMar>
              <w:top w:w="70" w:type="dxa"/>
              <w:left w:w="80" w:type="dxa"/>
              <w:bottom w:w="70" w:type="dxa"/>
              <w:right w:w="80" w:type="dxa"/>
              <w:start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10.98%</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20.74%</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+0.60</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ETSformer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4.0402→3.6128</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10.58%</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20.03%</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+1.00</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ConvLSTM</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1.5225→1.1195</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26.47%</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45.90%</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+9.21</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TSMixer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3.1695→2.9136</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8.07%</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15.51%</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+0.47</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TimeXer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4.3340→4.1154</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5.04%</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9.84%</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+0.21</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PredRNNv2</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1.2448→1.0449</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16.06%</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29.56%</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+6.08</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Crossformer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4.6866→4.5462</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3.00%</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5.90%</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+3.43</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MAU</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1.1589→1.0222</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11.80%</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22.13%</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+2.82</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FEDformer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3.9601→3.8351</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3.16%</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6.21%</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+2.36</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PredRNNPP</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1.0726→0.9739</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9.20%</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17.45%</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+1.66</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iTransformer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4.0319→3.9752</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1.41%</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2.80%</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-6.21</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Earthformer</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1.9276→1.8818</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2.38%</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4.63%</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+1.33</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SimVP</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时空</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0.9656→0.9445</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2.19%</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4.23%</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+0.73</w:t>
            </w:r>
          </w:p>
        </w:tc>
      </w:tr>
      <w:tr>
        <w:tc>
          <w:tcPr>
            <w:tcW w:type="dxa" w:w="1500"/>
            <w:vAlign w:val="center"/>
            <w:tcMar>
              <w:top w:w="70" w:type="dxa"/>
              <w:start w:w="70" w:type="dxa"/>
              <w:bottom w:w="70" w:type="dxa"/>
              <w:end w:w="70" w:type="dxa"/>
            </w:tcMar>
          </w:tcPr>
          <w:p>
            <w:pPr>
              <w:spacing w:before="0" w:after="0" w:line="240" w:lineRule="auto"/>
              <w:jc w:val="left"/>
            </w:pPr>
            <w:r>
              <w:rPr>
                <w:rFonts w:ascii="Times New Roman" w:hAnsi="Times New Roman" w:eastAsia="??"/>
                <w:sz w:val="15"/>
              </w:rPr>
            </w:r>
            <w:r>
              <w:rPr>
                <w:rFonts w:ascii="Times New Roman" w:hAnsi="Times New Roman" w:eastAsia="??"/>
                <w:b w:val="0"/>
                <w:sz w:val="15"/>
              </w:rPr>
              <w:t>PatchTST</w:t>
            </w:r>
          </w:p>
        </w:tc>
        <w:tc>
          <w:tcPr>
            <w:tcW w:type="dxa" w:w="65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时序</w:t>
            </w:r>
          </w:p>
        </w:tc>
        <w:tc>
          <w:tcPr>
            <w:tcW w:type="dxa" w:w="21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4.9508→5.3373</w:t>
            </w:r>
          </w:p>
        </w:tc>
        <w:tc>
          <w:tcPr>
            <w:tcW w:type="dxa" w:w="13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-7.81%</w:t>
            </w:r>
          </w:p>
        </w:tc>
        <w:tc>
          <w:tcPr>
            <w:tcW w:type="dxa" w:w="17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-16.22%</w:t>
            </w:r>
          </w:p>
        </w:tc>
        <w:tc>
          <w:tcPr>
            <w:tcW w:type="dxa" w:w="1500"/>
            <w:vAlign w:val="center"/>
            <w:tcMar>
              <w:top w:w="70" w:type="dxa"/>
              <w:start w:w="70" w:type="dxa"/>
              <w:bottom w:w="70" w:type="dxa"/>
              <w:end w:w="70" w:type="dxa"/>
            </w:tcMar>
          </w:tcPr>
          <w:p>
            <w:pPr>
              <w:spacing w:before="0" w:after="0" w:line="240" w:lineRule="auto"/>
              <w:jc w:val="center"/>
            </w:pPr>
            <w:r>
              <w:rPr>
                <w:rFonts w:ascii="Times New Roman" w:hAnsi="Times New Roman" w:eastAsia="??"/>
                <w:sz w:val="15"/>
              </w:rPr>
            </w:r>
            <w:r>
              <w:rPr>
                <w:rFonts w:ascii="Times New Roman" w:hAnsi="Times New Roman" w:eastAsia="??"/>
                <w:b w:val="0"/>
                <w:sz w:val="15"/>
              </w:rPr>
              <w:t>-1.57</w:t>
            </w:r>
          </w:p>
        </w:tc>
      </w:tr>
    </w:tbl>
    <w:p>
      <w:pPr>
        <w:spacing w:before="0" w:after="80" w:line="288" w:lineRule="auto"/>
        <w:ind w:firstLine="420"/>
      </w:pPr>
      <w:r>
        <w:rPr>
          <w:rFonts w:ascii="Times New Roman" w:hAnsi="Times New Roman" w:eastAsia="宋体"/>
          <w:sz w:val="21"/>
        </w:rPr>
        <w:t>结果表明，太阳黄经引导的 PhaseWarp 前端对多数架构均具有稳定正向作用。在 20 个有效模型中，19 个模型的 RMSE 得到改善，20 个模型的 MAE 均得到改善，19 个模型的 R² 得到提升，16 个模型的 sMAPE 得到改善。整体平均 RMSE 改善为 0.2903，平均相对 RMSE 提升为 9.71%，平均 R² 误差减小率为 17.87%。其中 Pyraformer 的绝对 RMSE 改善最大（0.8351，21.01%），NHITS、Autoformer 和 NBEATS 也位居前列；ConvLSTM 的相对 RMSE 提升最高（26.47%），且 R² 误差减小率达到 45.90%。</w:t>
      </w:r>
    </w:p>
    <w:p>
      <w:pPr>
        <w:spacing w:before="0" w:after="80" w:line="288" w:lineRule="auto"/>
        <w:ind w:firstLine="420"/>
      </w:pPr>
      <w:r>
        <w:rPr>
          <w:rFonts w:ascii="Times New Roman" w:hAnsi="Times New Roman" w:eastAsia="宋体"/>
          <w:sz w:val="21"/>
        </w:rPr>
        <w:t>从模型类型看，纯时间序列模型的平均绝对 RMSE 改善更大（0.3501），说明季节相位重构可显著降低序列模型对非平稳映射的拟合负担；时空模型的平均相对 RMSE 提升更高（11.35%），平均 R² 误差减小率也更高（20.65%），说明该前端与连续空间场建模机制具有较好兼容性。PatchTST 是唯一在 RMSE 与 R² 上同时退化的模型，提示连续相位调制与 patch-based tokenization 之间存在适配边界；同时，DLinear、Informer、iTransformer 和 PatchTST 的 sMAPE 出现退化，说明绝对误差和方差解释能力的改善并不总是同步转化为相对百分比误差的改善。</w:t>
      </w:r>
    </w:p>
    <w:p>
      <w:pPr>
        <w:pStyle w:val="Heading2"/>
        <w:spacing w:before="160" w:after="120"/>
      </w:pPr>
      <w:r>
        <w:rPr>
          <w:rFonts w:ascii="Arial" w:hAnsi="Arial" w:eastAsia="Noto Sans CJK SC" w:cs="Arial"/>
          <w:b/>
          <w:sz w:val="24"/>
        </w:rPr>
        <w:t>5.4 机理分析</w:t>
      </w:r>
    </w:p>
    <w:p>
      <w:pPr>
        <w:spacing w:before="0" w:after="80" w:line="288" w:lineRule="auto"/>
        <w:ind w:firstLine="420"/>
      </w:pPr>
      <w:r>
        <w:rPr>
          <w:rFonts w:ascii="Times New Roman" w:hAnsi="Times New Roman" w:eastAsia="宋体"/>
          <w:sz w:val="21"/>
        </w:rPr>
        <w:t>消融结果支持四个结论。第一，火星臭氧预测的关键并非简单增加季节变量，而是以物理合理方式表达季节变量。标量拼接失败，而空间周期调制有效，说明 Ls 必须以空间异质形式进入模型。第二，臭氧目标通道应区别于环境驱动通道。加性基线校正能够显式补偿季节背景漂移，使模型更集中于学习短时残差演化。第三，未来 GCM 动态强迫主要改善长程 rollout。该机制通过提供未来环境边界条件，减少了解码阶段因环境状态冻结导致的误差累积。第四，模型消融显示 PhaseWarp 的收益并不局限于单一骨干，而是在纯时间序列模型和显式时空模型中都能形成可观增益。</w:t>
      </w:r>
    </w:p>
    <w:p>
      <w:pPr>
        <w:spacing w:before="0" w:after="80" w:line="288" w:lineRule="auto"/>
        <w:ind w:firstLine="420"/>
      </w:pPr>
      <w:r>
        <w:rPr>
          <w:rFonts w:ascii="Times New Roman" w:hAnsi="Times New Roman" w:eastAsia="Noto Serif CJK SC" w:cs="Times New Roman"/>
          <w:sz w:val="21"/>
        </w:rPr>
        <w:t>项目材料中的可解释性分析还显示，模型学习到的调制振幅在高纬地区更强，相位参数呈现空间异质性，phase warp 参数具有明显南北半球不对称性。这些现象与火星臭氧高纬季节波动、地形与热惯性影响以及轨道偏心率引起的季节不对称相一致，说明模型并非仅学习任意统计纹理，而是在一定程度上捕捉了与火星大气物理相关的结构特征。</w:t>
      </w:r>
    </w:p>
    <w:p>
      <w:pPr>
        <w:spacing w:before="0" w:after="120"/>
      </w:pPr>
      <w:r>
        <w:rPr>
          <w:rFonts w:ascii="Times New Roman" w:hAnsi="Times New Roman" w:eastAsia="宋体"/>
          <w:sz w:val="21"/>
        </w:rPr>
        <w:t>模型参数统计进一步排除了“收益仅来自模型规模”的解释。参数量最大的 SimVP 约 5.86M，Raw 基线已经较强，PhaseWarp 仅带来 0.0211 的 RMSE 改善和 4.23% 的 R² 误差减小率；相反，极轻量的 DLinear 约 0.00098M，却获得 0.4947 的 RMSE 改善和 22.12% 的 R² 误差减小率。Pyraformer 和 NHITS 分别仅约 0.219M 与 0.172M 参数，却取得最大的 R² 增益和 sMAPE 改善。说明 PhaseWarp 更像是输入物理结构的重参数化，而不是简单依赖骨干容量扩张。参数诊断中 K 项按 tanh 后的有效值统计，多个模型学习到非零相位形变，表明模型确实在利用 Ls 相关的周期偏移来调整臭氧-环境映射。</w:t>
      </w:r>
    </w:p>
    <w:p>
      <w:pPr>
        <w:pStyle w:val="Heading1"/>
        <w:spacing w:before="240" w:after="160"/>
      </w:pPr>
      <w:r>
        <w:rPr>
          <w:rFonts w:ascii="Arial" w:hAnsi="Arial" w:eastAsia="Noto Sans CJK SC" w:cs="Arial"/>
          <w:b/>
          <w:sz w:val="28"/>
        </w:rPr>
        <w:t>6. 讨论</w:t>
      </w:r>
    </w:p>
    <w:p>
      <w:pPr>
        <w:spacing w:before="0" w:after="80" w:line="288" w:lineRule="auto"/>
        <w:ind w:firstLine="420"/>
      </w:pPr>
      <w:r>
        <w:rPr>
          <w:rFonts w:ascii="Times New Roman" w:hAnsi="Times New Roman" w:eastAsia="Noto Serif CJK SC" w:cs="Times New Roman"/>
          <w:sz w:val="21"/>
        </w:rPr>
        <w:t>本文方法的有效性来自对任务本质困难的针对性建模。火星臭氧预测的核心难点不是单纯的高维时空建模，而是环境变量与臭氧之间的关系随季节相位发生系统性变化。标准自回归模型容易利用历史臭氧连续性形成捷径预测，导致短期指标尚可但长程滚动不稳定。太阳黄经引导的空间周期调制为模型提供了明确的季节相位条件，使其能够区分不同季节分支下的臭氧响应；加性基线校正降低了目标通道中季节背景漂移的影响；未来 GCM 动态强迫则约束了解码过程中的大尺度环境演化。</w:t>
      </w:r>
    </w:p>
    <w:p>
      <w:pPr>
        <w:spacing w:before="0" w:after="80" w:line="288" w:lineRule="auto"/>
        <w:ind w:firstLine="420"/>
      </w:pPr>
      <w:r>
        <w:rPr>
          <w:rFonts w:ascii="Times New Roman" w:hAnsi="Times New Roman" w:eastAsia="宋体"/>
          <w:sz w:val="21"/>
        </w:rPr>
        <w:t>该方法也存在若干局限。首先，解码端动态强迫依赖未来 GCM 场，因此更适用于数值模式与深度学习结合的混合预测场景，而非完全闭环的纯数据驱动预测。其次，跨架构实验显示该方法对大多数模型有效，但 PatchTST 的退化表明连续物理调制与离散 patch token 表示之间仍需进一步协调。第三，高纬极区仍是主要误差来源，反映出极地相变、极涡隔离、非线性输送和复杂光化学过程仍未被充分建模。最后，本文尚未系统讨论概率预测、不确定性量化、物理守恒约束和数据稀疏条件下的稳健性，这些问题仍需在后续工作中补充。</w:t>
      </w:r>
    </w:p>
    <w:p>
      <w:pPr>
        <w:spacing w:before="0" w:after="80" w:line="288" w:lineRule="auto"/>
        <w:ind w:firstLine="420"/>
      </w:pPr>
      <w:r>
        <w:rPr>
          <w:rFonts w:ascii="Times New Roman" w:hAnsi="Times New Roman" w:eastAsia="Noto Serif CJK SC" w:cs="Times New Roman"/>
          <w:sz w:val="21"/>
        </w:rPr>
        <w:t>尽管如此，本文框架具有一定推广价值。对于受轨道相位或季节相位显著调制的行星大气变量，直接将时间标签作为普通协变量往往不足以表达其物理含义。将季节相位转换为空间异质的调制场，可作为一种通用的物理归纳偏置，用于尘暴、水汽、冰云及其他光化学组分的时空预测，也可扩展至其他行星或卫星大气系统的深度预测任务。</w:t>
      </w:r>
    </w:p>
    <w:p>
      <w:pPr>
        <w:spacing w:before="0" w:after="80" w:line="288" w:lineRule="auto"/>
        <w:ind w:firstLine="420"/>
      </w:pPr>
      <w:r>
        <w:rPr>
          <w:rFonts w:ascii="Times New Roman" w:hAnsi="Times New Roman" w:eastAsia="Noto Serif CJK SC" w:cs="Times New Roman"/>
          <w:sz w:val="21"/>
        </w:rPr>
        <w:t>未来研究可从四个方向推进：一是引入更强的物理约束损失或守恒约束；二是构建概率预测框架并量化不确定性；三是与 GCM 集合预报进一步耦合；四是针对极区设计区域化、化学感知或多尺度细化模块。</w:t>
      </w:r>
    </w:p>
    <w:p>
      <w:pPr>
        <w:pStyle w:val="Heading1"/>
        <w:spacing w:before="240" w:after="160"/>
      </w:pPr>
      <w:r>
        <w:rPr>
          <w:rFonts w:ascii="Arial" w:hAnsi="Arial" w:eastAsia="Noto Sans CJK SC" w:cs="Arial"/>
          <w:b/>
          <w:sz w:val="28"/>
        </w:rPr>
        <w:t>7. 结论</w:t>
      </w:r>
    </w:p>
    <w:p>
      <w:pPr>
        <w:spacing w:before="0" w:after="80" w:line="288" w:lineRule="auto"/>
        <w:ind w:firstLine="420"/>
      </w:pPr>
      <w:r>
        <w:rPr>
          <w:rFonts w:ascii="Times New Roman" w:hAnsi="Times New Roman" w:eastAsia="Noto Serif CJK SC" w:cs="Times New Roman"/>
          <w:sz w:val="21"/>
        </w:rPr>
        <w:t>本文针对火星臭氧预测中的季节性非平稳和自回归捷径学习问题，提出了一种物理引导的深度时空预测框架。该框架将太阳黄经作为显式季节控制变量，通过空间周期调制作用于环境输入通道，通过加性基线校正处理臭氧目标通道，并通过未来 GCM 动态强迫约束解码端长程预测过程。</w:t>
      </w:r>
    </w:p>
    <w:p>
      <w:pPr>
        <w:spacing w:before="0" w:after="80" w:line="288" w:lineRule="auto"/>
        <w:ind w:firstLine="420"/>
      </w:pPr>
      <w:r>
        <w:rPr>
          <w:rFonts w:ascii="Times New Roman" w:hAnsi="Times New Roman" w:eastAsia="宋体"/>
          <w:sz w:val="21"/>
        </w:rPr>
        <w:t>实验结果表明，简单拼接 Ls 不能有效提升模型性能，而太阳黄经引导的空间周期调制能够显著改善短期预测；未来 GCM 动态强迫可提升长程 rollout stability；跨 20 种异构架构的模型消融进一步说明，该物理前端对多类预测模型具有较好的泛化能力。与此同时，极地高纬区域、sMAPE 指标上的非同步改善以及 patch-based 架构中的性能边界也表明，该方法仍需在极端物理过程建模、误差指标协同和架构适配方面进一步完善。</w:t>
      </w:r>
    </w:p>
    <w:p>
      <w:pPr>
        <w:spacing w:before="0" w:after="80" w:line="288" w:lineRule="auto"/>
        <w:ind w:firstLine="420"/>
      </w:pPr>
      <w:r>
        <w:rPr>
          <w:rFonts w:ascii="Times New Roman" w:hAnsi="Times New Roman" w:eastAsia="Noto Serif CJK SC" w:cs="Times New Roman"/>
          <w:sz w:val="21"/>
        </w:rPr>
        <w:t>总体而言，本文证明了在 Martian ozone forecasting 中显式建模 seasonal non-stationarity 的必要性。将太阳黄经等物理季节变量转化为可学习、空间异质的调制结构，是缓解 shortcut learning、提高 spatiotemporal prediction 精度与 rollout stability 的有效途径，也为行星大气深度学习预测提供了一种可推广的物理先验建模思路。</w:t>
      </w:r>
    </w:p>
    <w:p>
      <w:pPr>
        <w:pStyle w:val="Heading1"/>
        <w:spacing w:before="240" w:after="160"/>
      </w:pPr>
      <w:r>
        <w:rPr>
          <w:rFonts w:ascii="Arial" w:hAnsi="Arial" w:eastAsia="Noto Sans CJK SC" w:cs="Arial"/>
          <w:b/>
          <w:sz w:val="28"/>
        </w:rPr>
        <w:t>参考文献</w:t>
      </w:r>
    </w:p>
    <w:p>
      <w:pPr>
        <w:spacing w:before="0" w:after="80" w:line="288" w:lineRule="auto"/>
      </w:pPr>
      <w:r>
        <w:rPr>
          <w:rFonts w:ascii="Times New Roman" w:hAnsi="Times New Roman" w:eastAsia="Noto Serif CJK SC" w:cs="Times New Roman"/>
          <w:sz w:val="21"/>
        </w:rPr>
        <w:t>[待补充：请在正式投稿前补充火星臭氧观测、OpenMars/MCD/GCM 数据源、PredRNN/ConvLSTM/Transformer 时空预测模型、shortcut learning 及物理引导深度学习等相关文献。]</w:t>
      </w:r>
    </w:p>
    <w:sectPr w:rsidR="00FC693F" w:rsidRPr="0006063C" w:rsidSect="00034616">
      <w:headerReference w:type="default" r:id="rId9"/>
      <w:footerReference w:type="default" r:id="rId10"/>
      <w:pgSz w:w="11906" w:h="16838"/>
      <w:pgMar w:top="1440" w:right="1531" w:bottom="124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sz w:val="18"/>
      </w:rPr>
      <w:t xml:space="preserve">第 </w:t>
    </w:r>
    <w:r>
      <w:rPr>
        <w:rFonts w:ascii="Times New Roman" w:hAnsi="Times New Roman" w:eastAsia="Noto Serif CJK SC" w:cs="Times New Roman"/>
        <w:sz w:val="18"/>
      </w:rPr>
      <w:fldChar w:fldCharType="begin"/>
    </w:r>
    <w:r>
      <w:rPr>
        <w:rFonts w:ascii="Times New Roman" w:hAnsi="Times New Roman" w:eastAsia="Noto Serif CJK SC" w:cs="Times New Roman"/>
        <w:sz w:val="18"/>
      </w:rPr>
      <w:instrText xml:space="preserve">PAGE</w:instrText>
    </w:r>
    <w:r>
      <w:rPr>
        <w:rFonts w:ascii="Times New Roman" w:hAnsi="Times New Roman" w:eastAsia="Noto Serif CJK SC" w:cs="Times New Roman"/>
        <w:sz w:val="18"/>
      </w:rPr>
      <w:fldChar w:fldCharType="separate"/>
    </w:r>
    <w:r>
      <w:rPr>
        <w:rFonts w:ascii="Times New Roman" w:hAnsi="Times New Roman" w:eastAsia="Noto Serif CJK SC" w:cs="Times New Roman"/>
        <w:sz w:val="18"/>
      </w:rPr>
      <w:t>1</w:t>
    </w:r>
    <w:r>
      <w:rPr>
        <w:rFonts w:ascii="Times New Roman" w:hAnsi="Times New Roman" w:eastAsia="Noto Serif CJK SC" w:cs="Times New Roman"/>
        <w:sz w:val="18"/>
      </w:rPr>
      <w:fldChar w:fldCharType="end"/>
    </w:r>
    <w:r>
      <w:rPr>
        <w:rFonts w:ascii="Times New Roman" w:hAnsi="Times New Roman" w:eastAsia="Noto Serif CJK SC" w:cs="Times New Roman"/>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Noto Sans CJK SC" w:cs="Arial"/>
        <w:sz w:val="18"/>
      </w:rPr>
      <w:t>太阳黄经引导的火星臭氧季节非平稳时空预测方法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eastAsia="Noto Serif CJK SC" w:cs="Times New Roman"/>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cs="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cs="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