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2681" w14:textId="3DA80415" w:rsidR="00E93502" w:rsidRDefault="00E93502">
      <w:r>
        <w:rPr>
          <w:noProof/>
        </w:rPr>
        <w:drawing>
          <wp:inline distT="0" distB="0" distL="0" distR="0" wp14:anchorId="13FBF913" wp14:editId="009DB7FD">
            <wp:extent cx="5731510" cy="86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62AF" w14:textId="3D23BCB3" w:rsidR="00E93502" w:rsidRDefault="00E93502"/>
    <w:p w14:paraId="1F0AF2E0" w14:textId="32BE2D92" w:rsidR="00E93502" w:rsidRDefault="00E93502">
      <w:r>
        <w:rPr>
          <w:noProof/>
        </w:rPr>
        <w:drawing>
          <wp:inline distT="0" distB="0" distL="0" distR="0" wp14:anchorId="11A8F251" wp14:editId="31660AEF">
            <wp:extent cx="5731510" cy="1272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FD1A" w14:textId="6C8897B9" w:rsidR="00E93502" w:rsidRDefault="00E93502"/>
    <w:p w14:paraId="5B1274D4" w14:textId="77777777" w:rsidR="002058AB" w:rsidRPr="002058AB" w:rsidRDefault="002058AB" w:rsidP="002058AB">
      <w:pPr>
        <w:rPr>
          <w:rFonts w:ascii="Times New Roman" w:eastAsia="Times New Roman" w:hAnsi="Times New Roman" w:cs="Times New Roman"/>
        </w:rPr>
      </w:pP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传统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治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疗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低甲状旁腺激素症主要包括活性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维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生素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D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和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钙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，目的是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缓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解低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钙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血症，但未能恢复正常的甲状旁腺激素（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PTH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）生理功能。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PTH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替代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疗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法是治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疗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低甲状旁腺激素症的理想生理治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疗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方法。双盲、安慰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剂对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照的</w:t>
      </w:r>
      <w:proofErr w:type="spellStart"/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PaTHway</w:t>
      </w:r>
      <w:proofErr w:type="spellEnd"/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第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3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期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试验为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期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26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周，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评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估了新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药</w:t>
      </w:r>
      <w:proofErr w:type="spellStart"/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TransCon</w:t>
      </w:r>
      <w:proofErr w:type="spellEnd"/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 xml:space="preserve"> PTH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（</w:t>
      </w:r>
      <w:proofErr w:type="spellStart"/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palopegteriparatide</w:t>
      </w:r>
      <w:proofErr w:type="spellEnd"/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）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对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低甲状旁腺激素症患者的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疗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效和安全性。参与者（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n = 84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）按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3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：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1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随机分配到每日一次的</w:t>
      </w:r>
      <w:proofErr w:type="spellStart"/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TransCon</w:t>
      </w:r>
      <w:proofErr w:type="spellEnd"/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 xml:space="preserve"> PTH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（最初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为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 xml:space="preserve">18 </w:t>
      </w:r>
      <w:proofErr w:type="spellStart"/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μg</w:t>
      </w:r>
      <w:proofErr w:type="spellEnd"/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/d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）或安慰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剂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，均与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传统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治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疗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同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时给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予。根据血清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钙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水平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进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行的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剂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量算法指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导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，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对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研究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药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物和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传统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治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疗进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行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调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整。复合主要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疗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效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终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点是在第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26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周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时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达到正常白蛋白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调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整的血清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钙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水平（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8.3-10.6 mg/dL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）、独立于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传统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治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疗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（不需要活性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维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生素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D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和每天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≤600 mg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的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钙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）且在第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26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周之前的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4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周内未增加研究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药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物的参与者的比例。其他感</w:t>
      </w:r>
      <w:r w:rsidRPr="002058AB">
        <w:rPr>
          <w:rFonts w:ascii="Yu Gothic" w:eastAsia="Yu Gothic" w:hAnsi="Yu Gothic" w:cs="Yu Gothic" w:hint="eastAsia"/>
          <w:color w:val="0D0D0D"/>
          <w:shd w:val="clear" w:color="auto" w:fill="FFFFFF"/>
        </w:rPr>
        <w:t>兴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趣的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结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果包括通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过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36-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项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短表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调查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（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SF-36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）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测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量的健康相关生命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质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量、通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过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低甲状旁腺激素患者体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验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量表（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HPES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）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测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量的低甲状旁腺激素相关症状、功能和幸福感，以及尿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钙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排泄。在第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26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周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时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，使用</w:t>
      </w:r>
      <w:proofErr w:type="spellStart"/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TransCon</w:t>
      </w:r>
      <w:proofErr w:type="spellEnd"/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 xml:space="preserve"> PTH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治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疗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的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61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名参与者中有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79%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（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48/61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）达到复合主要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疗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效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终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点，而安慰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剂组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中只有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5%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（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1/21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）达到（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p &lt; 0.0001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）。与安慰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剂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相比，</w:t>
      </w:r>
      <w:proofErr w:type="spellStart"/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TransCon</w:t>
      </w:r>
      <w:proofErr w:type="spellEnd"/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 xml:space="preserve"> PTH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治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疗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在所有关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键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次要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终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点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HPES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域分数（所有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p &lt; 0.01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）和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SF-36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身体功能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亚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量表分数（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p = 0.0347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）上均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显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著改善。此外，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93%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（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57/61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）的</w:t>
      </w:r>
      <w:proofErr w:type="spellStart"/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TransCon</w:t>
      </w:r>
      <w:proofErr w:type="spellEnd"/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 xml:space="preserve"> PTH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治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疗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参与者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实现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了独立于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传统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治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疗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。</w:t>
      </w:r>
      <w:proofErr w:type="spellStart"/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TransCon</w:t>
      </w:r>
      <w:proofErr w:type="spellEnd"/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 xml:space="preserve"> PTH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治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疗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使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24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小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时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尿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钙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正常化。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总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体而言，使用</w:t>
      </w:r>
      <w:proofErr w:type="spellStart"/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TransCon</w:t>
      </w:r>
      <w:proofErr w:type="spellEnd"/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 xml:space="preserve"> PTH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治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疗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的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61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名参与者中有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82%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（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50/61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）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经历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了不良事件，而安慰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剂组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中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100%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（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21/21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）也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经历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了，大多数是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轻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度（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46%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）或中度（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46%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）的。没有与研究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药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物相关的退出事件。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总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之，</w:t>
      </w:r>
      <w:proofErr w:type="spellStart"/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TransCon</w:t>
      </w:r>
      <w:proofErr w:type="spellEnd"/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 xml:space="preserve"> PTH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在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维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持正常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钙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平衡的同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时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使患者独立于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传统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治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疗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，并且在低甲状旁腺激素症患者中具有良好的耐受性。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 xml:space="preserve"> © 2022 The Authors. Journal of Bone and Mineral Research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由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Wiley Periodicals LLC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代表美国骨科和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矿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物研究学会（</w:t>
      </w:r>
      <w:r w:rsidRPr="002058AB">
        <w:rPr>
          <w:rFonts w:ascii="Segoe UI" w:eastAsia="Times New Roman" w:hAnsi="Segoe UI" w:cs="Segoe UI"/>
          <w:color w:val="0D0D0D"/>
          <w:shd w:val="clear" w:color="auto" w:fill="FFFFFF"/>
        </w:rPr>
        <w:t>ASBMR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）</w:t>
      </w:r>
      <w:r w:rsidRPr="002058AB">
        <w:rPr>
          <w:rFonts w:ascii="Microsoft YaHei" w:eastAsia="Microsoft YaHei" w:hAnsi="Microsoft YaHei" w:cs="Microsoft YaHei" w:hint="eastAsia"/>
          <w:color w:val="0D0D0D"/>
          <w:shd w:val="clear" w:color="auto" w:fill="FFFFFF"/>
        </w:rPr>
        <w:t>发</w:t>
      </w:r>
      <w:r w:rsidRPr="002058AB">
        <w:rPr>
          <w:rFonts w:ascii="MS Gothic" w:eastAsia="MS Gothic" w:hAnsi="MS Gothic" w:cs="MS Gothic" w:hint="eastAsia"/>
          <w:color w:val="0D0D0D"/>
          <w:shd w:val="clear" w:color="auto" w:fill="FFFFFF"/>
        </w:rPr>
        <w:t>表</w:t>
      </w:r>
      <w:r w:rsidRPr="002058AB">
        <w:rPr>
          <w:rFonts w:ascii="MS Gothic" w:eastAsia="MS Gothic" w:hAnsi="MS Gothic" w:cs="MS Gothic"/>
          <w:color w:val="0D0D0D"/>
          <w:shd w:val="clear" w:color="auto" w:fill="FFFFFF"/>
        </w:rPr>
        <w:t>。</w:t>
      </w:r>
    </w:p>
    <w:p w14:paraId="4F3186C6" w14:textId="26314E60" w:rsidR="00E93502" w:rsidRDefault="002058AB">
      <w:r>
        <w:rPr>
          <w:noProof/>
        </w:rPr>
        <w:drawing>
          <wp:inline distT="0" distB="0" distL="0" distR="0" wp14:anchorId="76276015" wp14:editId="4A7283A6">
            <wp:extent cx="567690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6EE6" w14:textId="41C5B427" w:rsidR="002058AB" w:rsidRDefault="002058AB">
      <w:hyperlink r:id="rId7" w:history="1">
        <w:r w:rsidRPr="001C1AF3">
          <w:rPr>
            <w:rStyle w:val="Hyperlink"/>
          </w:rPr>
          <w:t>https://www.ncbi.nlm.nih.gov/pmc/articles/PMC10099823/</w:t>
        </w:r>
      </w:hyperlink>
    </w:p>
    <w:p w14:paraId="05F994B9" w14:textId="589D23CB" w:rsidR="002058AB" w:rsidRDefault="002058AB"/>
    <w:p w14:paraId="1F73049B" w14:textId="371EC634" w:rsidR="002058AB" w:rsidRDefault="002058AB">
      <w:r>
        <w:rPr>
          <w:noProof/>
        </w:rPr>
        <w:drawing>
          <wp:inline distT="0" distB="0" distL="0" distR="0" wp14:anchorId="72FFEADC" wp14:editId="1ADE767C">
            <wp:extent cx="4864100" cy="570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7FB3" w14:textId="387DC274" w:rsidR="00F6502E" w:rsidRDefault="00F6502E"/>
    <w:p w14:paraId="4B99C078" w14:textId="7F2DB379" w:rsidR="00F6502E" w:rsidRDefault="00F6502E">
      <w:hyperlink r:id="rId9" w:history="1">
        <w:r w:rsidRPr="001C1AF3">
          <w:rPr>
            <w:rStyle w:val="Hyperlink"/>
          </w:rPr>
          <w:t>https://www.mayoclinic.org/diseases-conditions/hypoparathyroidism/diagnosis-treatment/drc-20355381</w:t>
        </w:r>
      </w:hyperlink>
    </w:p>
    <w:p w14:paraId="3FD4595A" w14:textId="174B3633" w:rsidR="00F6502E" w:rsidRDefault="00F6502E"/>
    <w:p w14:paraId="3B6B0524" w14:textId="77777777" w:rsidR="00F6502E" w:rsidRPr="00F6502E" w:rsidRDefault="00F6502E">
      <w:pPr>
        <w:rPr>
          <w:lang w:val="en-US"/>
        </w:rPr>
      </w:pPr>
    </w:p>
    <w:sectPr w:rsidR="00F6502E" w:rsidRPr="00F65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02"/>
    <w:rsid w:val="002058AB"/>
    <w:rsid w:val="002A0269"/>
    <w:rsid w:val="00A62117"/>
    <w:rsid w:val="00E93502"/>
    <w:rsid w:val="00F6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3042E"/>
  <w15:chartTrackingRefBased/>
  <w15:docId w15:val="{51C2C387-DD10-144B-A712-10A59D58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1009982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mayoclinic.org/diseases-conditions/hypoparathyroidism/diagnosis-treatment/drc-203553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Zongliang Han</dc:creator>
  <cp:keywords/>
  <dc:description/>
  <cp:lastModifiedBy>Zongliang Han</cp:lastModifiedBy>
  <cp:revision>2</cp:revision>
  <dcterms:created xsi:type="dcterms:W3CDTF">2024-02-19T07:02:00Z</dcterms:created>
  <dcterms:modified xsi:type="dcterms:W3CDTF">2024-02-20T09:10:00Z</dcterms:modified>
</cp:coreProperties>
</file>