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B19A0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center"/>
        <w:textAlignment w:val="baseline"/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数据标注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方案</w:t>
      </w:r>
    </w:p>
    <w:p w14:paraId="60907B91">
      <w:pPr>
        <w:rPr>
          <w:rFonts w:hint="default"/>
          <w:sz w:val="21"/>
          <w:szCs w:val="21"/>
          <w:lang w:val="en-US" w:eastAsia="zh-CN"/>
        </w:rPr>
      </w:pPr>
    </w:p>
    <w:p w14:paraId="701B6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  <w:lang w:val="en-US" w:eastAsia="zh-CN" w:bidi="ar"/>
        </w:rPr>
        <w:t xml:space="preserve">1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标注规则</w:t>
      </w:r>
    </w:p>
    <w:p w14:paraId="503DC6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1.1 时间设置</w:t>
      </w:r>
    </w:p>
    <w:p w14:paraId="0BCB7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导出病历最新时间为2026年4月7日</w:t>
      </w:r>
    </w:p>
    <w:p w14:paraId="66FA9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筛选时间、招募时间：设置为2026年4月1日；</w:t>
      </w:r>
    </w:p>
    <w:p w14:paraId="4687F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随机分组时间、入组时间、入选时间：设置为2026年4月7日；</w:t>
      </w:r>
    </w:p>
    <w:p w14:paraId="39996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启用研究治疗时间、研究开始时间、首次给药时间、首次服用研究药物时间或C1D1时间：设置为2026年4月8日；</w:t>
      </w:r>
    </w:p>
    <w:p w14:paraId="59564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未说明参考时间的情况，均按照筛选时间计算，比如标准“手术治疗后不足2 周”，应评价为“手术治疗时间距筛选时间2026年4月1日不足2周”；比如“12个月内发生过严重的心脑血管事件”，应评价为距筛选时间2026年4月1日的12个月内。</w:t>
      </w:r>
    </w:p>
    <w:p w14:paraId="171AD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1.2 基本标注规则</w:t>
      </w:r>
    </w:p>
    <w:p w14:paraId="0D83C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满足某一条入组条件，或不满足某一条排除条件 =“符合”；</w:t>
      </w:r>
    </w:p>
    <w:p w14:paraId="1ACCB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不满足某一条入组条件，或满足某一条排除条件 =“不符合”；</w:t>
      </w:r>
    </w:p>
    <w:p w14:paraId="38770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检索不到条件对应的信息 =“未知”；</w:t>
      </w:r>
    </w:p>
    <w:p w14:paraId="25840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标注的同时给出参考的原始病历信息和匹配解释。</w:t>
      </w:r>
    </w:p>
    <w:p w14:paraId="2B59E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1.3 特殊种类标准的标注规则</w:t>
      </w:r>
    </w:p>
    <w:p w14:paraId="03652C9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既往或合并存在其他疾病史、手术史、过敏史、用药史、吸烟饮酒史（基于病历书写的一般逻辑，无既往史时一般无相关记录），检索不到对应信息时：</w:t>
      </w:r>
    </w:p>
    <w:p w14:paraId="15236CC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对于入选标准：不能直接认为不满足入选标准，标注为“未知”；</w:t>
      </w:r>
    </w:p>
    <w:p w14:paraId="760A852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对于排除标准：当排除标准为肯定句式时（比如排除标准“既往存在严重过敏史”），可初步认为患者不存在这些病史，认为不满足排除标准，不能排除，标注为“符合”，以防止产生过多的未知；当排除标准为否定句式时（比如排除标准“既往未进行抗肿瘤治疗”），不能直接认为满足排除标准，标注为“未知”，以防止排除掉潜在的合格患者；</w:t>
      </w:r>
    </w:p>
    <w:p w14:paraId="36E10ED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当排除标准包括多项病史时（比如排除标准“合并疾病及病史：a) 活动性乙型肝炎或丙型肝炎；b) 心脑血管异常；c) 胃肠道异常；...”），只要患者存在其中一种病史，即可认为该患者满足该排除标准，需要排除，标注“不符合”；所有病史均不存在或检索不到时，认为不能排除，标注为“符合”；</w:t>
      </w:r>
    </w:p>
    <w:p w14:paraId="3ABB231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涉及实验室检查、心电图或评分的标准：包括基因型检测（比如HER2阳性）、血细胞或血生化指标、心电图结果数据、Child Pugh评分等，检索不到对应信息时，标注为“未知”。</w:t>
      </w:r>
    </w:p>
    <w:p w14:paraId="64AE0E6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需同时满足疾病史/用药史/过敏史等和实验室检查/心电图/评分等指标的标准：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376"/>
        <w:gridCol w:w="2336"/>
        <w:gridCol w:w="2533"/>
        <w:gridCol w:w="1320"/>
      </w:tblGrid>
      <w:tr w14:paraId="6767F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70" w:hRule="atLeast"/>
          <w:jc w:val="center"/>
        </w:trPr>
        <w:tc>
          <w:tcPr>
            <w:tcW w:w="2376" w:type="dxa"/>
            <w:vAlign w:val="center"/>
          </w:tcPr>
          <w:p w14:paraId="4A37DC0E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标准</w:t>
            </w:r>
          </w:p>
        </w:tc>
        <w:tc>
          <w:tcPr>
            <w:tcW w:w="2336" w:type="dxa"/>
            <w:vAlign w:val="center"/>
          </w:tcPr>
          <w:p w14:paraId="422D34A9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疾病史/用药史/过敏史</w:t>
            </w:r>
          </w:p>
        </w:tc>
        <w:tc>
          <w:tcPr>
            <w:tcW w:w="2533" w:type="dxa"/>
            <w:vAlign w:val="center"/>
          </w:tcPr>
          <w:p w14:paraId="790C848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实验室检查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心电图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评分</w:t>
            </w:r>
          </w:p>
        </w:tc>
        <w:tc>
          <w:tcPr>
            <w:tcW w:w="1320" w:type="dxa"/>
            <w:vAlign w:val="center"/>
          </w:tcPr>
          <w:p w14:paraId="1086003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标注结果</w:t>
            </w:r>
          </w:p>
        </w:tc>
      </w:tr>
      <w:tr w14:paraId="14617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restart"/>
            <w:vAlign w:val="center"/>
          </w:tcPr>
          <w:p w14:paraId="423109C3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入选标准</w:t>
            </w:r>
          </w:p>
          <w:p w14:paraId="5407847C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如：“卵巢癌需满足：（1）肿瘤组织标本确认为MSLN表达［经中心实验室IHC检测≥1+］；（2）铂敏感或铂耐药且接受过至少二线治疗失败者”</w:t>
            </w:r>
          </w:p>
        </w:tc>
        <w:tc>
          <w:tcPr>
            <w:tcW w:w="2336" w:type="dxa"/>
            <w:vAlign w:val="center"/>
          </w:tcPr>
          <w:p w14:paraId="574CC4CC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满足</w:t>
            </w:r>
          </w:p>
        </w:tc>
        <w:tc>
          <w:tcPr>
            <w:tcW w:w="2533" w:type="dxa"/>
            <w:vAlign w:val="center"/>
          </w:tcPr>
          <w:p w14:paraId="448FC1BE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满足</w:t>
            </w:r>
          </w:p>
        </w:tc>
        <w:tc>
          <w:tcPr>
            <w:tcW w:w="1320" w:type="dxa"/>
            <w:vAlign w:val="center"/>
          </w:tcPr>
          <w:p w14:paraId="307FD12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符合</w:t>
            </w:r>
          </w:p>
        </w:tc>
      </w:tr>
      <w:tr w14:paraId="5A82C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tcBorders/>
            <w:vAlign w:val="center"/>
          </w:tcPr>
          <w:p w14:paraId="79CC07D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vAlign w:val="center"/>
          </w:tcPr>
          <w:p w14:paraId="54D6895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满足</w:t>
            </w:r>
          </w:p>
        </w:tc>
        <w:tc>
          <w:tcPr>
            <w:tcW w:w="2533" w:type="dxa"/>
            <w:shd w:val="clear"/>
            <w:vAlign w:val="center"/>
          </w:tcPr>
          <w:p w14:paraId="6FFDFE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无记录</w:t>
            </w:r>
          </w:p>
        </w:tc>
        <w:tc>
          <w:tcPr>
            <w:tcW w:w="1320" w:type="dxa"/>
            <w:vAlign w:val="center"/>
          </w:tcPr>
          <w:p w14:paraId="3BF7A55D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未知</w:t>
            </w:r>
          </w:p>
        </w:tc>
      </w:tr>
      <w:tr w14:paraId="60BC0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tcBorders/>
            <w:vAlign w:val="center"/>
          </w:tcPr>
          <w:p w14:paraId="7F7D3CB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vAlign w:val="center"/>
          </w:tcPr>
          <w:p w14:paraId="6034D431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满足</w:t>
            </w:r>
          </w:p>
        </w:tc>
        <w:tc>
          <w:tcPr>
            <w:tcW w:w="2533" w:type="dxa"/>
            <w:shd w:val="clear"/>
            <w:vAlign w:val="center"/>
          </w:tcPr>
          <w:p w14:paraId="6C0DC0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不满足</w:t>
            </w:r>
          </w:p>
        </w:tc>
        <w:tc>
          <w:tcPr>
            <w:tcW w:w="1320" w:type="dxa"/>
            <w:vAlign w:val="center"/>
          </w:tcPr>
          <w:p w14:paraId="4F512E6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不符合</w:t>
            </w:r>
          </w:p>
        </w:tc>
      </w:tr>
      <w:tr w14:paraId="1A33F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tcBorders/>
            <w:vAlign w:val="center"/>
          </w:tcPr>
          <w:p w14:paraId="4A141203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vAlign w:val="center"/>
          </w:tcPr>
          <w:p w14:paraId="445E8D7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无记录</w:t>
            </w:r>
          </w:p>
        </w:tc>
        <w:tc>
          <w:tcPr>
            <w:tcW w:w="2533" w:type="dxa"/>
            <w:shd w:val="clear"/>
            <w:vAlign w:val="center"/>
          </w:tcPr>
          <w:p w14:paraId="026147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满足</w:t>
            </w:r>
          </w:p>
        </w:tc>
        <w:tc>
          <w:tcPr>
            <w:tcW w:w="1320" w:type="dxa"/>
            <w:vAlign w:val="center"/>
          </w:tcPr>
          <w:p w14:paraId="6873496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未知</w:t>
            </w:r>
          </w:p>
        </w:tc>
      </w:tr>
      <w:tr w14:paraId="6D499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tcBorders/>
            <w:vAlign w:val="center"/>
          </w:tcPr>
          <w:p w14:paraId="06045CD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vAlign w:val="center"/>
          </w:tcPr>
          <w:p w14:paraId="21DF1514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无记录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0F5CC6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无记录</w:t>
            </w:r>
          </w:p>
        </w:tc>
        <w:tc>
          <w:tcPr>
            <w:tcW w:w="1320" w:type="dxa"/>
            <w:vAlign w:val="center"/>
          </w:tcPr>
          <w:p w14:paraId="7BF0CBB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未知</w:t>
            </w:r>
          </w:p>
        </w:tc>
      </w:tr>
      <w:tr w14:paraId="74BFF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tcBorders/>
            <w:vAlign w:val="center"/>
          </w:tcPr>
          <w:p w14:paraId="0384A25E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vAlign w:val="center"/>
          </w:tcPr>
          <w:p w14:paraId="65578E4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无记录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09E93C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不满足</w:t>
            </w:r>
          </w:p>
        </w:tc>
        <w:tc>
          <w:tcPr>
            <w:tcW w:w="1320" w:type="dxa"/>
            <w:vAlign w:val="center"/>
          </w:tcPr>
          <w:p w14:paraId="6AB4F8B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不符合</w:t>
            </w:r>
          </w:p>
        </w:tc>
      </w:tr>
      <w:tr w14:paraId="53521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tcBorders/>
            <w:vAlign w:val="center"/>
          </w:tcPr>
          <w:p w14:paraId="14D0815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vAlign w:val="center"/>
          </w:tcPr>
          <w:p w14:paraId="2D45755C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不满足</w:t>
            </w:r>
          </w:p>
        </w:tc>
        <w:tc>
          <w:tcPr>
            <w:tcW w:w="2533" w:type="dxa"/>
            <w:shd w:val="clear"/>
            <w:vAlign w:val="center"/>
          </w:tcPr>
          <w:p w14:paraId="58971E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满足</w:t>
            </w:r>
          </w:p>
        </w:tc>
        <w:tc>
          <w:tcPr>
            <w:tcW w:w="1320" w:type="dxa"/>
            <w:vAlign w:val="center"/>
          </w:tcPr>
          <w:p w14:paraId="2B16BF3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不符合</w:t>
            </w:r>
          </w:p>
        </w:tc>
      </w:tr>
      <w:tr w14:paraId="24423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tcBorders/>
            <w:vAlign w:val="center"/>
          </w:tcPr>
          <w:p w14:paraId="0297A0AB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vAlign w:val="center"/>
          </w:tcPr>
          <w:p w14:paraId="436F1A5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不满足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3D7FFD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无记录</w:t>
            </w:r>
          </w:p>
        </w:tc>
        <w:tc>
          <w:tcPr>
            <w:tcW w:w="1320" w:type="dxa"/>
            <w:vAlign w:val="center"/>
          </w:tcPr>
          <w:p w14:paraId="65B4795B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不符合</w:t>
            </w:r>
          </w:p>
        </w:tc>
      </w:tr>
      <w:tr w14:paraId="5C195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tcBorders/>
            <w:vAlign w:val="center"/>
          </w:tcPr>
          <w:p w14:paraId="3BDB3D8F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vAlign w:val="center"/>
          </w:tcPr>
          <w:p w14:paraId="4DC6C51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不满足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65405C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不满足</w:t>
            </w:r>
          </w:p>
        </w:tc>
        <w:tc>
          <w:tcPr>
            <w:tcW w:w="1320" w:type="dxa"/>
            <w:vAlign w:val="center"/>
          </w:tcPr>
          <w:p w14:paraId="5DE98091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不符合</w:t>
            </w:r>
          </w:p>
        </w:tc>
      </w:tr>
      <w:tr w14:paraId="5CF6B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restart"/>
            <w:vAlign w:val="center"/>
          </w:tcPr>
          <w:p w14:paraId="0C09B009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排除标准</w:t>
            </w:r>
          </w:p>
          <w:p w14:paraId="57716BCF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（肯定句式）</w:t>
            </w:r>
          </w:p>
          <w:p w14:paraId="70C372A3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如：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“经EGFR、ALK、ROS1突变检测阳性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且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使用相关靶向治疗的患者”</w:t>
            </w:r>
          </w:p>
        </w:tc>
        <w:tc>
          <w:tcPr>
            <w:tcW w:w="2336" w:type="dxa"/>
            <w:shd w:val="clear"/>
            <w:vAlign w:val="center"/>
          </w:tcPr>
          <w:p w14:paraId="50643B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满足</w:t>
            </w:r>
          </w:p>
        </w:tc>
        <w:tc>
          <w:tcPr>
            <w:tcW w:w="2533" w:type="dxa"/>
            <w:shd w:val="clear"/>
            <w:vAlign w:val="center"/>
          </w:tcPr>
          <w:p w14:paraId="00042C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满足</w:t>
            </w:r>
          </w:p>
        </w:tc>
        <w:tc>
          <w:tcPr>
            <w:tcW w:w="1320" w:type="dxa"/>
            <w:vAlign w:val="center"/>
          </w:tcPr>
          <w:p w14:paraId="7591659E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不符合</w:t>
            </w:r>
          </w:p>
        </w:tc>
      </w:tr>
      <w:tr w14:paraId="7E405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tcBorders/>
            <w:vAlign w:val="center"/>
          </w:tcPr>
          <w:p w14:paraId="39432E2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shd w:val="clear"/>
            <w:vAlign w:val="center"/>
          </w:tcPr>
          <w:p w14:paraId="657953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满足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523887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无记录</w:t>
            </w:r>
          </w:p>
        </w:tc>
        <w:tc>
          <w:tcPr>
            <w:tcW w:w="1320" w:type="dxa"/>
            <w:vAlign w:val="center"/>
          </w:tcPr>
          <w:p w14:paraId="3AB1D30A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未知</w:t>
            </w:r>
          </w:p>
        </w:tc>
      </w:tr>
      <w:tr w14:paraId="22846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tcBorders/>
            <w:vAlign w:val="center"/>
          </w:tcPr>
          <w:p w14:paraId="22DB2C83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shd w:val="clear"/>
            <w:vAlign w:val="center"/>
          </w:tcPr>
          <w:p w14:paraId="0F2FBA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满足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4A8129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不满足</w:t>
            </w:r>
          </w:p>
        </w:tc>
        <w:tc>
          <w:tcPr>
            <w:tcW w:w="1320" w:type="dxa"/>
            <w:vAlign w:val="center"/>
          </w:tcPr>
          <w:p w14:paraId="62B790E1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符合</w:t>
            </w:r>
          </w:p>
        </w:tc>
      </w:tr>
      <w:tr w14:paraId="00F1C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tcBorders/>
            <w:vAlign w:val="center"/>
          </w:tcPr>
          <w:p w14:paraId="13410E5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shd w:val="clear"/>
            <w:vAlign w:val="center"/>
          </w:tcPr>
          <w:p w14:paraId="02F4B8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70C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70C0"/>
                <w:sz w:val="21"/>
                <w:szCs w:val="21"/>
                <w:vertAlign w:val="baseline"/>
                <w:lang w:val="en-US" w:eastAsia="zh-CN"/>
              </w:rPr>
              <w:t>无记录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5FE469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70C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70C0"/>
                <w:sz w:val="21"/>
                <w:szCs w:val="21"/>
                <w:vertAlign w:val="baseline"/>
                <w:lang w:val="en-US" w:eastAsia="zh-CN"/>
              </w:rPr>
              <w:t>满足</w:t>
            </w:r>
          </w:p>
        </w:tc>
        <w:tc>
          <w:tcPr>
            <w:tcW w:w="1320" w:type="dxa"/>
            <w:vAlign w:val="center"/>
          </w:tcPr>
          <w:p w14:paraId="06076F7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70C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70C0"/>
                <w:sz w:val="21"/>
                <w:szCs w:val="21"/>
                <w:vertAlign w:val="baseline"/>
                <w:lang w:val="en-US" w:eastAsia="zh-CN"/>
              </w:rPr>
              <w:t>符合</w:t>
            </w:r>
          </w:p>
        </w:tc>
      </w:tr>
      <w:tr w14:paraId="08EAA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tcBorders/>
            <w:vAlign w:val="center"/>
          </w:tcPr>
          <w:p w14:paraId="0523D3C9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shd w:val="clear"/>
            <w:vAlign w:val="center"/>
          </w:tcPr>
          <w:p w14:paraId="740155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70C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70C0"/>
                <w:sz w:val="21"/>
                <w:szCs w:val="21"/>
                <w:vertAlign w:val="baseline"/>
                <w:lang w:val="en-US" w:eastAsia="zh-CN"/>
              </w:rPr>
              <w:t>无记录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3AE64C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70C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70C0"/>
                <w:sz w:val="21"/>
                <w:szCs w:val="21"/>
                <w:vertAlign w:val="baseline"/>
                <w:lang w:val="en-US" w:eastAsia="zh-CN"/>
              </w:rPr>
              <w:t>无记录</w:t>
            </w:r>
          </w:p>
        </w:tc>
        <w:tc>
          <w:tcPr>
            <w:tcW w:w="1320" w:type="dxa"/>
            <w:vAlign w:val="center"/>
          </w:tcPr>
          <w:p w14:paraId="33E0BB7B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70C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70C0"/>
                <w:sz w:val="21"/>
                <w:szCs w:val="21"/>
                <w:vertAlign w:val="baseline"/>
                <w:lang w:val="en-US" w:eastAsia="zh-CN"/>
              </w:rPr>
              <w:t>符合</w:t>
            </w:r>
          </w:p>
        </w:tc>
      </w:tr>
      <w:tr w14:paraId="01BF8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376" w:type="dxa"/>
            <w:vMerge w:val="continue"/>
            <w:tcBorders/>
            <w:vAlign w:val="center"/>
          </w:tcPr>
          <w:p w14:paraId="0F0DCF95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shd w:val="clear"/>
            <w:vAlign w:val="center"/>
          </w:tcPr>
          <w:p w14:paraId="205849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无记录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04DA9D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不满足</w:t>
            </w:r>
          </w:p>
        </w:tc>
        <w:tc>
          <w:tcPr>
            <w:tcW w:w="1320" w:type="dxa"/>
            <w:vAlign w:val="center"/>
          </w:tcPr>
          <w:p w14:paraId="61F2684D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符合</w:t>
            </w:r>
          </w:p>
        </w:tc>
      </w:tr>
      <w:tr w14:paraId="03EE4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tcBorders/>
            <w:vAlign w:val="center"/>
          </w:tcPr>
          <w:p w14:paraId="4770C35E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shd w:val="clear"/>
            <w:vAlign w:val="center"/>
          </w:tcPr>
          <w:p w14:paraId="7AFCA4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不满足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303404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满足</w:t>
            </w:r>
          </w:p>
        </w:tc>
        <w:tc>
          <w:tcPr>
            <w:tcW w:w="1320" w:type="dxa"/>
            <w:vAlign w:val="center"/>
          </w:tcPr>
          <w:p w14:paraId="5574104A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符合</w:t>
            </w:r>
          </w:p>
        </w:tc>
      </w:tr>
      <w:tr w14:paraId="4EEA6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tcBorders/>
            <w:vAlign w:val="center"/>
          </w:tcPr>
          <w:p w14:paraId="7F86C90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shd w:val="clear"/>
            <w:vAlign w:val="center"/>
          </w:tcPr>
          <w:p w14:paraId="56735E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不满足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0E5B29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无记录</w:t>
            </w:r>
          </w:p>
        </w:tc>
        <w:tc>
          <w:tcPr>
            <w:tcW w:w="1320" w:type="dxa"/>
            <w:vAlign w:val="center"/>
          </w:tcPr>
          <w:p w14:paraId="0A78A9CF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符合</w:t>
            </w:r>
          </w:p>
        </w:tc>
      </w:tr>
      <w:tr w14:paraId="0D420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tcBorders/>
            <w:vAlign w:val="center"/>
          </w:tcPr>
          <w:p w14:paraId="5645AC1E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shd w:val="clear"/>
            <w:vAlign w:val="center"/>
          </w:tcPr>
          <w:p w14:paraId="2242A8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不满足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52C0BE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不满足</w:t>
            </w:r>
          </w:p>
        </w:tc>
        <w:tc>
          <w:tcPr>
            <w:tcW w:w="1320" w:type="dxa"/>
            <w:vAlign w:val="center"/>
          </w:tcPr>
          <w:p w14:paraId="062CC64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符合</w:t>
            </w:r>
          </w:p>
        </w:tc>
      </w:tr>
      <w:tr w14:paraId="5400A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restart"/>
            <w:tcBorders/>
            <w:vAlign w:val="center"/>
          </w:tcPr>
          <w:p w14:paraId="2A72F8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排除标准</w:t>
            </w:r>
          </w:p>
          <w:p w14:paraId="647B775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（否定句式）</w:t>
            </w:r>
          </w:p>
          <w:p w14:paraId="609A8AC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如“经EGFR、ALK、ROS1突变检测阳性但未使用相关靶向治疗的患者”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26CA07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满足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441928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满足</w:t>
            </w:r>
          </w:p>
        </w:tc>
        <w:tc>
          <w:tcPr>
            <w:tcW w:w="1320" w:type="dxa"/>
            <w:shd w:val="clear"/>
            <w:vAlign w:val="center"/>
          </w:tcPr>
          <w:p w14:paraId="2857A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不符合</w:t>
            </w:r>
          </w:p>
        </w:tc>
      </w:tr>
      <w:tr w14:paraId="2724B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76" w:type="dxa"/>
            <w:vMerge w:val="continue"/>
            <w:tcBorders/>
            <w:vAlign w:val="center"/>
          </w:tcPr>
          <w:p w14:paraId="49E06713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shd w:val="clear" w:color="auto" w:fill="auto"/>
            <w:vAlign w:val="center"/>
          </w:tcPr>
          <w:p w14:paraId="3A587B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满足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2D5338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无记录</w:t>
            </w:r>
          </w:p>
        </w:tc>
        <w:tc>
          <w:tcPr>
            <w:tcW w:w="1320" w:type="dxa"/>
            <w:shd w:val="clear"/>
            <w:vAlign w:val="center"/>
          </w:tcPr>
          <w:p w14:paraId="7C1717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未知</w:t>
            </w:r>
          </w:p>
        </w:tc>
      </w:tr>
      <w:tr w14:paraId="24D8B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376" w:type="dxa"/>
            <w:vMerge w:val="continue"/>
            <w:tcBorders/>
            <w:vAlign w:val="center"/>
          </w:tcPr>
          <w:p w14:paraId="6B869FE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shd w:val="clear" w:color="auto" w:fill="auto"/>
            <w:vAlign w:val="center"/>
          </w:tcPr>
          <w:p w14:paraId="7A6BE2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满足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59A94D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不满足</w:t>
            </w:r>
          </w:p>
        </w:tc>
        <w:tc>
          <w:tcPr>
            <w:tcW w:w="1320" w:type="dxa"/>
            <w:shd w:val="clear"/>
            <w:vAlign w:val="center"/>
          </w:tcPr>
          <w:p w14:paraId="24B6E9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符合</w:t>
            </w:r>
          </w:p>
        </w:tc>
      </w:tr>
      <w:tr w14:paraId="10EBB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tcBorders/>
            <w:vAlign w:val="center"/>
          </w:tcPr>
          <w:p w14:paraId="25097FF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shd w:val="clear" w:color="auto" w:fill="auto"/>
            <w:vAlign w:val="center"/>
          </w:tcPr>
          <w:p w14:paraId="7C56F8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70C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70C0"/>
                <w:sz w:val="21"/>
                <w:szCs w:val="21"/>
                <w:vertAlign w:val="baseline"/>
                <w:lang w:val="en-US" w:eastAsia="zh-CN"/>
              </w:rPr>
              <w:t>无记录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615953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70C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70C0"/>
                <w:sz w:val="21"/>
                <w:szCs w:val="21"/>
                <w:vertAlign w:val="baseline"/>
                <w:lang w:val="en-US" w:eastAsia="zh-CN"/>
              </w:rPr>
              <w:t>满足</w:t>
            </w:r>
          </w:p>
        </w:tc>
        <w:tc>
          <w:tcPr>
            <w:tcW w:w="1320" w:type="dxa"/>
            <w:shd w:val="clear"/>
            <w:vAlign w:val="center"/>
          </w:tcPr>
          <w:p w14:paraId="535CAF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70C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70C0"/>
                <w:sz w:val="21"/>
                <w:szCs w:val="21"/>
                <w:vertAlign w:val="baseline"/>
                <w:lang w:val="en-US" w:eastAsia="zh-CN"/>
              </w:rPr>
              <w:t>未知</w:t>
            </w:r>
          </w:p>
        </w:tc>
      </w:tr>
      <w:tr w14:paraId="52EE3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tcBorders/>
            <w:vAlign w:val="center"/>
          </w:tcPr>
          <w:p w14:paraId="049EC91B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shd w:val="clear" w:color="auto" w:fill="auto"/>
            <w:vAlign w:val="center"/>
          </w:tcPr>
          <w:p w14:paraId="6CA852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70C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70C0"/>
                <w:sz w:val="21"/>
                <w:szCs w:val="21"/>
                <w:vertAlign w:val="baseline"/>
                <w:lang w:val="en-US" w:eastAsia="zh-CN"/>
              </w:rPr>
              <w:t>无记录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51FEFC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70C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70C0"/>
                <w:sz w:val="21"/>
                <w:szCs w:val="21"/>
                <w:vertAlign w:val="baseline"/>
                <w:lang w:val="en-US" w:eastAsia="zh-CN"/>
              </w:rPr>
              <w:t>无记录</w:t>
            </w:r>
          </w:p>
        </w:tc>
        <w:tc>
          <w:tcPr>
            <w:tcW w:w="1320" w:type="dxa"/>
            <w:shd w:val="clear"/>
            <w:vAlign w:val="center"/>
          </w:tcPr>
          <w:p w14:paraId="77E01E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70C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70C0"/>
                <w:sz w:val="21"/>
                <w:szCs w:val="21"/>
                <w:vertAlign w:val="baseline"/>
                <w:lang w:val="en-US" w:eastAsia="zh-CN"/>
              </w:rPr>
              <w:t>未知</w:t>
            </w:r>
          </w:p>
        </w:tc>
      </w:tr>
      <w:tr w14:paraId="54D2E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tcBorders/>
            <w:vAlign w:val="center"/>
          </w:tcPr>
          <w:p w14:paraId="2C2772B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shd w:val="clear" w:color="auto" w:fill="auto"/>
            <w:vAlign w:val="center"/>
          </w:tcPr>
          <w:p w14:paraId="0B8CCC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无记录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0A516B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不满足</w:t>
            </w:r>
          </w:p>
        </w:tc>
        <w:tc>
          <w:tcPr>
            <w:tcW w:w="1320" w:type="dxa"/>
            <w:shd w:val="clear"/>
            <w:vAlign w:val="center"/>
          </w:tcPr>
          <w:p w14:paraId="1F677E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符合</w:t>
            </w:r>
          </w:p>
        </w:tc>
      </w:tr>
      <w:tr w14:paraId="0BA01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tcBorders/>
            <w:vAlign w:val="center"/>
          </w:tcPr>
          <w:p w14:paraId="2960675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shd w:val="clear" w:color="auto" w:fill="auto"/>
            <w:vAlign w:val="center"/>
          </w:tcPr>
          <w:p w14:paraId="3AD000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不满足</w:t>
            </w:r>
            <w:bookmarkStart w:id="0" w:name="_GoBack"/>
            <w:bookmarkEnd w:id="0"/>
          </w:p>
        </w:tc>
        <w:tc>
          <w:tcPr>
            <w:tcW w:w="2533" w:type="dxa"/>
            <w:shd w:val="clear" w:color="auto" w:fill="auto"/>
            <w:vAlign w:val="center"/>
          </w:tcPr>
          <w:p w14:paraId="68FBA4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满足</w:t>
            </w:r>
          </w:p>
        </w:tc>
        <w:tc>
          <w:tcPr>
            <w:tcW w:w="1320" w:type="dxa"/>
            <w:shd w:val="clear"/>
            <w:vAlign w:val="center"/>
          </w:tcPr>
          <w:p w14:paraId="7498B6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符合</w:t>
            </w:r>
          </w:p>
        </w:tc>
      </w:tr>
      <w:tr w14:paraId="1247D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tcBorders/>
            <w:vAlign w:val="center"/>
          </w:tcPr>
          <w:p w14:paraId="4840FE7C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shd w:val="clear" w:color="auto" w:fill="auto"/>
            <w:vAlign w:val="center"/>
          </w:tcPr>
          <w:p w14:paraId="545E3C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不满足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070797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无记录</w:t>
            </w:r>
          </w:p>
        </w:tc>
        <w:tc>
          <w:tcPr>
            <w:tcW w:w="1320" w:type="dxa"/>
            <w:shd w:val="clear"/>
            <w:vAlign w:val="center"/>
          </w:tcPr>
          <w:p w14:paraId="1AF36C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符合</w:t>
            </w:r>
          </w:p>
        </w:tc>
      </w:tr>
      <w:tr w14:paraId="5C6A4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tcBorders/>
            <w:vAlign w:val="center"/>
          </w:tcPr>
          <w:p w14:paraId="4D0AACC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shd w:val="clear" w:color="auto" w:fill="auto"/>
            <w:vAlign w:val="center"/>
          </w:tcPr>
          <w:p w14:paraId="2B20DF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不满足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68B047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不满足</w:t>
            </w:r>
          </w:p>
        </w:tc>
        <w:tc>
          <w:tcPr>
            <w:tcW w:w="1320" w:type="dxa"/>
            <w:shd w:val="clear"/>
            <w:vAlign w:val="center"/>
          </w:tcPr>
          <w:p w14:paraId="1CD0F7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符合</w:t>
            </w:r>
          </w:p>
        </w:tc>
      </w:tr>
    </w:tbl>
    <w:p w14:paraId="1810C84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48D0692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满足疾病史/用药史/过敏史等或满足实验室检查指标其中一条的标准：</w:t>
      </w:r>
    </w:p>
    <w:tbl>
      <w:tblPr>
        <w:tblStyle w:val="5"/>
        <w:tblW w:w="856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336"/>
        <w:gridCol w:w="2533"/>
        <w:gridCol w:w="1320"/>
      </w:tblGrid>
      <w:tr w14:paraId="7F1F9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  <w:jc w:val="center"/>
        </w:trPr>
        <w:tc>
          <w:tcPr>
            <w:tcW w:w="2376" w:type="dxa"/>
            <w:vAlign w:val="center"/>
          </w:tcPr>
          <w:p w14:paraId="012306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标准</w:t>
            </w:r>
          </w:p>
        </w:tc>
        <w:tc>
          <w:tcPr>
            <w:tcW w:w="2336" w:type="dxa"/>
            <w:vAlign w:val="center"/>
          </w:tcPr>
          <w:p w14:paraId="77ED62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疾病史/用药史/过敏史</w:t>
            </w:r>
          </w:p>
        </w:tc>
        <w:tc>
          <w:tcPr>
            <w:tcW w:w="2533" w:type="dxa"/>
            <w:vAlign w:val="center"/>
          </w:tcPr>
          <w:p w14:paraId="41F059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实验室检查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心电图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评分</w:t>
            </w:r>
          </w:p>
        </w:tc>
        <w:tc>
          <w:tcPr>
            <w:tcW w:w="1320" w:type="dxa"/>
            <w:vAlign w:val="center"/>
          </w:tcPr>
          <w:p w14:paraId="675A3D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标注结果</w:t>
            </w:r>
          </w:p>
        </w:tc>
      </w:tr>
      <w:tr w14:paraId="77023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restart"/>
            <w:vAlign w:val="center"/>
          </w:tcPr>
          <w:p w14:paraId="5A2870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入选标准</w:t>
            </w:r>
          </w:p>
          <w:p w14:paraId="234074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如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“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受试者有骨髓异常增生综合征或急性髓系白血病病史，或表现出与此相关的临床和/或实验室特征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”</w:t>
            </w:r>
          </w:p>
        </w:tc>
        <w:tc>
          <w:tcPr>
            <w:tcW w:w="2336" w:type="dxa"/>
            <w:vAlign w:val="center"/>
          </w:tcPr>
          <w:p w14:paraId="2C063C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满足</w:t>
            </w:r>
          </w:p>
        </w:tc>
        <w:tc>
          <w:tcPr>
            <w:tcW w:w="2533" w:type="dxa"/>
            <w:vAlign w:val="center"/>
          </w:tcPr>
          <w:p w14:paraId="419C93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满足</w:t>
            </w:r>
          </w:p>
        </w:tc>
        <w:tc>
          <w:tcPr>
            <w:tcW w:w="1320" w:type="dxa"/>
            <w:vAlign w:val="center"/>
          </w:tcPr>
          <w:p w14:paraId="7A1ECD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符合</w:t>
            </w:r>
          </w:p>
        </w:tc>
      </w:tr>
      <w:tr w14:paraId="4D879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vAlign w:val="center"/>
          </w:tcPr>
          <w:p w14:paraId="4BECE3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vAlign w:val="center"/>
          </w:tcPr>
          <w:p w14:paraId="5526FF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满足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20B3E3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无记录</w:t>
            </w:r>
          </w:p>
        </w:tc>
        <w:tc>
          <w:tcPr>
            <w:tcW w:w="1320" w:type="dxa"/>
            <w:vAlign w:val="center"/>
          </w:tcPr>
          <w:p w14:paraId="435A42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符合</w:t>
            </w:r>
          </w:p>
        </w:tc>
      </w:tr>
      <w:tr w14:paraId="36E62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vAlign w:val="center"/>
          </w:tcPr>
          <w:p w14:paraId="6BAE0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vAlign w:val="center"/>
          </w:tcPr>
          <w:p w14:paraId="17B6C3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满足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6DF717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不满足</w:t>
            </w:r>
          </w:p>
        </w:tc>
        <w:tc>
          <w:tcPr>
            <w:tcW w:w="1320" w:type="dxa"/>
            <w:vAlign w:val="center"/>
          </w:tcPr>
          <w:p w14:paraId="45EC8A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符合</w:t>
            </w:r>
          </w:p>
        </w:tc>
      </w:tr>
      <w:tr w14:paraId="18A81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vAlign w:val="center"/>
          </w:tcPr>
          <w:p w14:paraId="1953EE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vAlign w:val="center"/>
          </w:tcPr>
          <w:p w14:paraId="27F8AD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无记录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05F7EE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满足</w:t>
            </w:r>
          </w:p>
        </w:tc>
        <w:tc>
          <w:tcPr>
            <w:tcW w:w="1320" w:type="dxa"/>
            <w:vAlign w:val="center"/>
          </w:tcPr>
          <w:p w14:paraId="367649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符合</w:t>
            </w:r>
          </w:p>
        </w:tc>
      </w:tr>
      <w:tr w14:paraId="038AD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vAlign w:val="center"/>
          </w:tcPr>
          <w:p w14:paraId="07B9BC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vAlign w:val="center"/>
          </w:tcPr>
          <w:p w14:paraId="36FAE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无记录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237871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无记录</w:t>
            </w:r>
          </w:p>
        </w:tc>
        <w:tc>
          <w:tcPr>
            <w:tcW w:w="1320" w:type="dxa"/>
            <w:vAlign w:val="center"/>
          </w:tcPr>
          <w:p w14:paraId="787F18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未知</w:t>
            </w:r>
          </w:p>
        </w:tc>
      </w:tr>
      <w:tr w14:paraId="13731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vAlign w:val="center"/>
          </w:tcPr>
          <w:p w14:paraId="61B8EE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vAlign w:val="center"/>
          </w:tcPr>
          <w:p w14:paraId="73A6E9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无记录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03D6B9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不满足</w:t>
            </w:r>
          </w:p>
        </w:tc>
        <w:tc>
          <w:tcPr>
            <w:tcW w:w="1320" w:type="dxa"/>
            <w:vAlign w:val="center"/>
          </w:tcPr>
          <w:p w14:paraId="21EEBD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未知</w:t>
            </w:r>
          </w:p>
        </w:tc>
      </w:tr>
      <w:tr w14:paraId="6711B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vAlign w:val="center"/>
          </w:tcPr>
          <w:p w14:paraId="50A7F5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vAlign w:val="center"/>
          </w:tcPr>
          <w:p w14:paraId="58DDBB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不满足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61EC7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满足</w:t>
            </w:r>
          </w:p>
        </w:tc>
        <w:tc>
          <w:tcPr>
            <w:tcW w:w="1320" w:type="dxa"/>
            <w:vAlign w:val="center"/>
          </w:tcPr>
          <w:p w14:paraId="1F377E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符合</w:t>
            </w:r>
          </w:p>
        </w:tc>
      </w:tr>
      <w:tr w14:paraId="17F15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vAlign w:val="center"/>
          </w:tcPr>
          <w:p w14:paraId="5415A6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vAlign w:val="center"/>
          </w:tcPr>
          <w:p w14:paraId="18D54D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不满足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363CED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无记录</w:t>
            </w:r>
          </w:p>
        </w:tc>
        <w:tc>
          <w:tcPr>
            <w:tcW w:w="1320" w:type="dxa"/>
            <w:vAlign w:val="center"/>
          </w:tcPr>
          <w:p w14:paraId="5E8D5B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未知</w:t>
            </w:r>
          </w:p>
        </w:tc>
      </w:tr>
      <w:tr w14:paraId="75CD0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vAlign w:val="center"/>
          </w:tcPr>
          <w:p w14:paraId="0CB11C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vAlign w:val="center"/>
          </w:tcPr>
          <w:p w14:paraId="5217D1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不满足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2C63B7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不满足</w:t>
            </w:r>
          </w:p>
        </w:tc>
        <w:tc>
          <w:tcPr>
            <w:tcW w:w="1320" w:type="dxa"/>
            <w:vAlign w:val="center"/>
          </w:tcPr>
          <w:p w14:paraId="00F783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不符合</w:t>
            </w:r>
          </w:p>
        </w:tc>
      </w:tr>
      <w:tr w14:paraId="22DA8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restart"/>
            <w:vAlign w:val="center"/>
          </w:tcPr>
          <w:p w14:paraId="61D3F4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排除标准</w:t>
            </w:r>
          </w:p>
          <w:p w14:paraId="69395C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如“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需要透析的肾病或2021 CKD-EPI 方程计算出eGFR &lt;30mL/min/1.73 m2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”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2F5935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满足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0B0C4B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满足</w:t>
            </w:r>
          </w:p>
        </w:tc>
        <w:tc>
          <w:tcPr>
            <w:tcW w:w="1320" w:type="dxa"/>
            <w:vAlign w:val="center"/>
          </w:tcPr>
          <w:p w14:paraId="62F5CE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不符合</w:t>
            </w:r>
          </w:p>
        </w:tc>
      </w:tr>
      <w:tr w14:paraId="6E987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vAlign w:val="center"/>
          </w:tcPr>
          <w:p w14:paraId="63C75E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shd w:val="clear" w:color="auto" w:fill="auto"/>
            <w:vAlign w:val="center"/>
          </w:tcPr>
          <w:p w14:paraId="0EAB46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满足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029D13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无记录</w:t>
            </w:r>
          </w:p>
        </w:tc>
        <w:tc>
          <w:tcPr>
            <w:tcW w:w="1320" w:type="dxa"/>
            <w:vAlign w:val="center"/>
          </w:tcPr>
          <w:p w14:paraId="28CAEC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不符合</w:t>
            </w:r>
          </w:p>
        </w:tc>
      </w:tr>
      <w:tr w14:paraId="0EC4C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vAlign w:val="center"/>
          </w:tcPr>
          <w:p w14:paraId="36DB6D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shd w:val="clear" w:color="auto" w:fill="auto"/>
            <w:vAlign w:val="center"/>
          </w:tcPr>
          <w:p w14:paraId="56A04A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满足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1E407C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不满足</w:t>
            </w:r>
          </w:p>
        </w:tc>
        <w:tc>
          <w:tcPr>
            <w:tcW w:w="1320" w:type="dxa"/>
            <w:vAlign w:val="center"/>
          </w:tcPr>
          <w:p w14:paraId="12506C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不符合</w:t>
            </w:r>
          </w:p>
        </w:tc>
      </w:tr>
      <w:tr w14:paraId="02DBC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vAlign w:val="center"/>
          </w:tcPr>
          <w:p w14:paraId="49702D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shd w:val="clear" w:color="auto" w:fill="auto"/>
            <w:vAlign w:val="center"/>
          </w:tcPr>
          <w:p w14:paraId="55C2A1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无记录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4ED1D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满足</w:t>
            </w:r>
          </w:p>
        </w:tc>
        <w:tc>
          <w:tcPr>
            <w:tcW w:w="1320" w:type="dxa"/>
            <w:vAlign w:val="center"/>
          </w:tcPr>
          <w:p w14:paraId="676FF6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不符合</w:t>
            </w:r>
          </w:p>
        </w:tc>
      </w:tr>
      <w:tr w14:paraId="2A495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vAlign w:val="center"/>
          </w:tcPr>
          <w:p w14:paraId="04C93B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shd w:val="clear" w:color="auto" w:fill="auto"/>
            <w:vAlign w:val="center"/>
          </w:tcPr>
          <w:p w14:paraId="699D01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无记录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131B11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无记录</w:t>
            </w:r>
          </w:p>
        </w:tc>
        <w:tc>
          <w:tcPr>
            <w:tcW w:w="1320" w:type="dxa"/>
            <w:vAlign w:val="center"/>
          </w:tcPr>
          <w:p w14:paraId="742414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未知</w:t>
            </w:r>
          </w:p>
        </w:tc>
      </w:tr>
      <w:tr w14:paraId="3D932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vAlign w:val="center"/>
          </w:tcPr>
          <w:p w14:paraId="31F9BE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shd w:val="clear" w:color="auto" w:fill="auto"/>
            <w:vAlign w:val="center"/>
          </w:tcPr>
          <w:p w14:paraId="090F9A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无记录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37EB27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不满足</w:t>
            </w:r>
          </w:p>
        </w:tc>
        <w:tc>
          <w:tcPr>
            <w:tcW w:w="1320" w:type="dxa"/>
            <w:vAlign w:val="center"/>
          </w:tcPr>
          <w:p w14:paraId="165A1F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符合</w:t>
            </w:r>
          </w:p>
        </w:tc>
      </w:tr>
      <w:tr w14:paraId="50186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vAlign w:val="center"/>
          </w:tcPr>
          <w:p w14:paraId="221C83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shd w:val="clear" w:color="auto" w:fill="auto"/>
            <w:vAlign w:val="center"/>
          </w:tcPr>
          <w:p w14:paraId="6DC760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不满足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7D53C3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满足</w:t>
            </w:r>
          </w:p>
        </w:tc>
        <w:tc>
          <w:tcPr>
            <w:tcW w:w="1320" w:type="dxa"/>
            <w:vAlign w:val="center"/>
          </w:tcPr>
          <w:p w14:paraId="452F86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不符合</w:t>
            </w:r>
          </w:p>
        </w:tc>
      </w:tr>
      <w:tr w14:paraId="36A61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vAlign w:val="center"/>
          </w:tcPr>
          <w:p w14:paraId="6C449E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shd w:val="clear" w:color="auto" w:fill="auto"/>
            <w:vAlign w:val="center"/>
          </w:tcPr>
          <w:p w14:paraId="6B9916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不满足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6B50D6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无记录</w:t>
            </w:r>
          </w:p>
        </w:tc>
        <w:tc>
          <w:tcPr>
            <w:tcW w:w="1320" w:type="dxa"/>
            <w:vAlign w:val="center"/>
          </w:tcPr>
          <w:p w14:paraId="5B9D6F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未知</w:t>
            </w:r>
          </w:p>
        </w:tc>
      </w:tr>
      <w:tr w14:paraId="20D2B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vAlign w:val="center"/>
          </w:tcPr>
          <w:p w14:paraId="3512F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shd w:val="clear" w:color="auto" w:fill="auto"/>
            <w:vAlign w:val="center"/>
          </w:tcPr>
          <w:p w14:paraId="36A58E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不满足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6F24A4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不满足</w:t>
            </w:r>
          </w:p>
        </w:tc>
        <w:tc>
          <w:tcPr>
            <w:tcW w:w="1320" w:type="dxa"/>
            <w:vAlign w:val="center"/>
          </w:tcPr>
          <w:p w14:paraId="7827F5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符合</w:t>
            </w:r>
          </w:p>
        </w:tc>
      </w:tr>
      <w:tr w14:paraId="15214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restart"/>
            <w:vAlign w:val="center"/>
          </w:tcPr>
          <w:p w14:paraId="1296CF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排除标准</w:t>
            </w:r>
          </w:p>
          <w:p w14:paraId="1E1FC0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（否定句式）</w:t>
            </w:r>
          </w:p>
          <w:p w14:paraId="25C6D4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如“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经EGFR、ALK、ROS1突变检测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阴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性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或未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使用相关靶向治疗的患者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”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49471C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满足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5BA6FE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满足</w:t>
            </w:r>
          </w:p>
        </w:tc>
        <w:tc>
          <w:tcPr>
            <w:tcW w:w="1320" w:type="dxa"/>
            <w:shd w:val="clear"/>
            <w:vAlign w:val="center"/>
          </w:tcPr>
          <w:p w14:paraId="5DF84F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不符合</w:t>
            </w:r>
          </w:p>
        </w:tc>
      </w:tr>
      <w:tr w14:paraId="0AB0B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vAlign w:val="center"/>
          </w:tcPr>
          <w:p w14:paraId="09BB9D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shd w:val="clear" w:color="auto" w:fill="auto"/>
            <w:vAlign w:val="center"/>
          </w:tcPr>
          <w:p w14:paraId="52FCFA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满足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2CADD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无记录</w:t>
            </w:r>
          </w:p>
        </w:tc>
        <w:tc>
          <w:tcPr>
            <w:tcW w:w="1320" w:type="dxa"/>
            <w:shd w:val="clear"/>
            <w:vAlign w:val="center"/>
          </w:tcPr>
          <w:p w14:paraId="1B960F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不符合</w:t>
            </w:r>
          </w:p>
        </w:tc>
      </w:tr>
      <w:tr w14:paraId="093A1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vAlign w:val="center"/>
          </w:tcPr>
          <w:p w14:paraId="6D17D2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shd w:val="clear" w:color="auto" w:fill="auto"/>
            <w:vAlign w:val="center"/>
          </w:tcPr>
          <w:p w14:paraId="2B0EC9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满足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6DAD36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不满足</w:t>
            </w:r>
          </w:p>
        </w:tc>
        <w:tc>
          <w:tcPr>
            <w:tcW w:w="1320" w:type="dxa"/>
            <w:shd w:val="clear"/>
            <w:vAlign w:val="center"/>
          </w:tcPr>
          <w:p w14:paraId="098701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不符合</w:t>
            </w:r>
          </w:p>
        </w:tc>
      </w:tr>
      <w:tr w14:paraId="44E7F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vAlign w:val="center"/>
          </w:tcPr>
          <w:p w14:paraId="0F4906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shd w:val="clear" w:color="auto" w:fill="auto"/>
            <w:vAlign w:val="center"/>
          </w:tcPr>
          <w:p w14:paraId="5D5A51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无记录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7C464D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满足</w:t>
            </w:r>
          </w:p>
        </w:tc>
        <w:tc>
          <w:tcPr>
            <w:tcW w:w="1320" w:type="dxa"/>
            <w:shd w:val="clear"/>
            <w:vAlign w:val="center"/>
          </w:tcPr>
          <w:p w14:paraId="4F5960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不符合</w:t>
            </w:r>
          </w:p>
        </w:tc>
      </w:tr>
      <w:tr w14:paraId="687EC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vAlign w:val="center"/>
          </w:tcPr>
          <w:p w14:paraId="44C838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shd w:val="clear" w:color="auto" w:fill="auto"/>
            <w:vAlign w:val="center"/>
          </w:tcPr>
          <w:p w14:paraId="73BEDE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无记录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5802B7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无记录</w:t>
            </w:r>
          </w:p>
        </w:tc>
        <w:tc>
          <w:tcPr>
            <w:tcW w:w="1320" w:type="dxa"/>
            <w:shd w:val="clear"/>
            <w:vAlign w:val="center"/>
          </w:tcPr>
          <w:p w14:paraId="60862E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未知</w:t>
            </w:r>
          </w:p>
        </w:tc>
      </w:tr>
      <w:tr w14:paraId="60AE1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vAlign w:val="center"/>
          </w:tcPr>
          <w:p w14:paraId="7FA655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shd w:val="clear" w:color="auto" w:fill="auto"/>
            <w:vAlign w:val="center"/>
          </w:tcPr>
          <w:p w14:paraId="73B9FD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无记录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223F62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不满足</w:t>
            </w:r>
          </w:p>
        </w:tc>
        <w:tc>
          <w:tcPr>
            <w:tcW w:w="1320" w:type="dxa"/>
            <w:shd w:val="clear"/>
            <w:vAlign w:val="center"/>
          </w:tcPr>
          <w:p w14:paraId="3ADB76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未知</w:t>
            </w:r>
          </w:p>
        </w:tc>
      </w:tr>
      <w:tr w14:paraId="6A4E1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vAlign w:val="center"/>
          </w:tcPr>
          <w:p w14:paraId="5A7BAC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shd w:val="clear" w:color="auto" w:fill="auto"/>
            <w:vAlign w:val="center"/>
          </w:tcPr>
          <w:p w14:paraId="3E80D4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不满足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68F5B3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满足</w:t>
            </w:r>
          </w:p>
        </w:tc>
        <w:tc>
          <w:tcPr>
            <w:tcW w:w="1320" w:type="dxa"/>
            <w:shd w:val="clear"/>
            <w:vAlign w:val="center"/>
          </w:tcPr>
          <w:p w14:paraId="529DAD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不符合</w:t>
            </w:r>
          </w:p>
        </w:tc>
      </w:tr>
      <w:tr w14:paraId="614DC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vAlign w:val="center"/>
          </w:tcPr>
          <w:p w14:paraId="7AD8D8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shd w:val="clear" w:color="auto" w:fill="auto"/>
            <w:vAlign w:val="center"/>
          </w:tcPr>
          <w:p w14:paraId="717A08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不满足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4F3F41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无记录</w:t>
            </w:r>
          </w:p>
        </w:tc>
        <w:tc>
          <w:tcPr>
            <w:tcW w:w="1320" w:type="dxa"/>
            <w:shd w:val="clear"/>
            <w:vAlign w:val="center"/>
          </w:tcPr>
          <w:p w14:paraId="524520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未知</w:t>
            </w:r>
          </w:p>
        </w:tc>
      </w:tr>
      <w:tr w14:paraId="5F471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Merge w:val="continue"/>
            <w:vAlign w:val="center"/>
          </w:tcPr>
          <w:p w14:paraId="67F5DC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336" w:type="dxa"/>
            <w:shd w:val="clear" w:color="auto" w:fill="auto"/>
            <w:vAlign w:val="center"/>
          </w:tcPr>
          <w:p w14:paraId="3A915A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不满足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59937E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不满足</w:t>
            </w:r>
          </w:p>
        </w:tc>
        <w:tc>
          <w:tcPr>
            <w:tcW w:w="1320" w:type="dxa"/>
            <w:shd w:val="clear"/>
            <w:vAlign w:val="center"/>
          </w:tcPr>
          <w:p w14:paraId="6DBB50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符合</w:t>
            </w:r>
          </w:p>
        </w:tc>
      </w:tr>
    </w:tbl>
    <w:p w14:paraId="14296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  <w:lang w:val="en-US" w:eastAsia="zh-CN" w:bidi="ar"/>
        </w:rPr>
      </w:pPr>
    </w:p>
    <w:p w14:paraId="722699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  <w:lang w:val="en-US" w:eastAsia="zh-CN" w:bidi="ar"/>
        </w:rPr>
        <w:t xml:space="preserve">2 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标注流程</w:t>
      </w:r>
    </w:p>
    <w:p w14:paraId="05C63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一级：大模型初标</w:t>
      </w:r>
    </w:p>
    <w:p w14:paraId="5E5AA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采用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大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语言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模型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非思考模式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按照标注规则给每条数据贴标签，在 Excel 里加一列 “标注结果”，填 “符合” 或 “不符合”或“未知”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。分别采用非解释和解释模式下贴标签，以相互验证标注结果，在解释模式的结果中给出匹配解释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。</w:t>
      </w:r>
    </w:p>
    <w:p w14:paraId="57416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二级：人工审查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和完善</w:t>
      </w:r>
    </w:p>
    <w:p w14:paraId="7E2D1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名具有临床试验筛选经验的工作人员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审查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和完善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大模型的标注结果，考察人工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标注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的一致性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如无法判断，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由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医生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最终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确认。</w:t>
      </w:r>
    </w:p>
    <w:p w14:paraId="11321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三级：医生终审</w:t>
      </w:r>
    </w:p>
    <w:p w14:paraId="5E68C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临床医生抽样审核，抽样比例：① 简单数据（比如明显符合 / 不符合的）：抽 10%-15%；② 复杂数据（比如边界情况，年龄刚满 18 岁、指标临界值）：抽 30% 以上；③ 人工审查不确定的数据：100% 审核。审核通过后，确定数据的 “标准答案”。</w:t>
      </w:r>
    </w:p>
    <w:p w14:paraId="55ECA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  <w:lang w:val="en-US" w:eastAsia="zh-CN" w:bidi="ar"/>
        </w:rPr>
        <w:t xml:space="preserve">3 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记录标注信息</w:t>
      </w:r>
    </w:p>
    <w:p w14:paraId="5AF6C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构建一个标注溯源表，记清楚每条数据的：编号、标注大模型、标注时间、审查记录、审查人、审核结果、审核医生，以后万一发现错误能找到问题出在哪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。</w:t>
      </w:r>
    </w:p>
    <w:p w14:paraId="5585081E">
      <w:pPr>
        <w:spacing w:line="360" w:lineRule="auto"/>
        <w:rPr>
          <w:sz w:val="24"/>
          <w:szCs w:val="24"/>
        </w:rPr>
      </w:pPr>
    </w:p>
    <w:p w14:paraId="3616830A">
      <w:pPr>
        <w:spacing w:line="360" w:lineRule="auto"/>
        <w:rPr>
          <w:sz w:val="24"/>
          <w:szCs w:val="24"/>
        </w:rPr>
      </w:pPr>
    </w:p>
    <w:p w14:paraId="15C737F2">
      <w:pPr>
        <w:spacing w:line="360" w:lineRule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br w:type="page"/>
      </w:r>
    </w:p>
    <w:p w14:paraId="63689E46">
      <w:pPr>
        <w:jc w:val="center"/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数据标注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人工审查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工作流程</w:t>
      </w:r>
    </w:p>
    <w:p w14:paraId="72C1E0B4">
      <w:pPr>
        <w:jc w:val="both"/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</w:p>
    <w:p w14:paraId="28840D6E">
      <w:pPr>
        <w:numPr>
          <w:ilvl w:val="0"/>
          <w:numId w:val="3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大模型初标获得多个标注结果，并进行标注结果预处理。</w:t>
      </w:r>
    </w:p>
    <w:p w14:paraId="15F0E482">
      <w:pPr>
        <w:numPr>
          <w:ilvl w:val="0"/>
          <w:numId w:val="3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抽取 120 例患者的标注结果，分析大模型标注结果，制定标注人工审查及修正指南。</w:t>
      </w:r>
    </w:p>
    <w:p w14:paraId="65321D6E">
      <w:pPr>
        <w:numPr>
          <w:ilvl w:val="0"/>
          <w:numId w:val="3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选择 2 名 CRC 进行独立双盲的人工审查及修正。首先按照人工审查及修正指南对 2 名 CRC 进行培训。然后随机抽取 10000条标注结果由这 2 名 CRC 独立双盲地进行人工审查和修正。CRC 不能确定的标注，由人工审查负责人审查 (仲裁者)。</w:t>
      </w:r>
    </w:p>
    <w:p w14:paraId="2C439237">
      <w:pPr>
        <w:numPr>
          <w:ilvl w:val="0"/>
          <w:numId w:val="3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CRC 审查流程: </w:t>
      </w:r>
    </w:p>
    <w:p w14:paraId="20E8A232">
      <w:pPr>
        <w:numPr>
          <w:ilvl w:val="0"/>
          <w:numId w:val="0"/>
        </w:numPr>
        <w:spacing w:line="360" w:lineRule="auto"/>
        <w:ind w:leftChars="100"/>
        <w:jc w:val="both"/>
        <w:rPr>
          <w:rFonts w:hint="eastAsia" w:ascii="Times New Roman" w:hAnsi="Times New Roman" w:eastAsia="宋体" w:cs="Times New Roman"/>
          <w:b w:val="0"/>
          <w:bCs w:val="0"/>
          <w:color w:val="0000FF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 w:val="24"/>
          <w:szCs w:val="24"/>
          <w:lang w:val="en-US" w:eastAsia="zh-CN"/>
        </w:rPr>
        <w:t>(1) 按试验入排标准的ID聚类进行审核，熟悉一套标准再批量判，大幅提速。</w:t>
      </w:r>
    </w:p>
    <w:p w14:paraId="388C3444">
      <w:pPr>
        <w:numPr>
          <w:ilvl w:val="0"/>
          <w:numId w:val="0"/>
        </w:numPr>
        <w:spacing w:line="360" w:lineRule="auto"/>
        <w:ind w:leftChars="100"/>
        <w:jc w:val="both"/>
        <w:rPr>
          <w:rFonts w:hint="eastAsia" w:ascii="Times New Roman" w:hAnsi="Times New Roman" w:eastAsia="宋体" w:cs="Times New Roman"/>
          <w:b w:val="0"/>
          <w:bCs w:val="0"/>
          <w:color w:val="0000FF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 w:val="24"/>
          <w:szCs w:val="24"/>
          <w:lang w:val="en-US" w:eastAsia="zh-CN"/>
        </w:rPr>
        <w:t>(2) 筛选多轮大模型标注结果，对于所有标注结果统一且均不为“未知”的标注结果可采用抽查的方式审查，10% 抽样抽查；对于所有标注结果均为“未知”的标注结果和不统一的标注结果逐一审查。</w:t>
      </w:r>
    </w:p>
    <w:p w14:paraId="18CFD42F">
      <w:pPr>
        <w:numPr>
          <w:ilvl w:val="0"/>
          <w:numId w:val="0"/>
        </w:numPr>
        <w:spacing w:line="360" w:lineRule="auto"/>
        <w:ind w:leftChars="10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(3) 审查后，人工对每一个标注-患者匹配对标注简单、中等和疑难。简单匹配对定义为所有标注结果均统一且非未知；中等匹配对定义为根据大模型给出的匹配解释，轻松给出人工审核意见；疑难定义为需要第三方仲裁者进行仲裁。</w:t>
      </w:r>
    </w:p>
    <w:p w14:paraId="30C29459">
      <w:pPr>
        <w:numPr>
          <w:ilvl w:val="0"/>
          <w:numId w:val="0"/>
        </w:numPr>
        <w:spacing w:line="360" w:lineRule="auto"/>
        <w:ind w:leftChars="100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(4) 根据 CRC 标注的匹配对的难易程度分层，由统计师判断病历的难易程度，当病历对应的所有标注-患者匹配对的“中等”占比低于 30%，且无“疑难”匹配对时，判定为简单病历；当病历对应的标注-患者匹配对中“中等”占比大于 30%，且无“疑难”匹配对时，判定为中等难度病历；当病历对应的标注-患者匹配对有“疑难”，病历判定为疑难病历。</w:t>
      </w:r>
    </w:p>
    <w:p w14:paraId="77ADF0C7">
      <w:pPr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 xml:space="preserve">5、 </w:t>
      </w:r>
      <w:r>
        <w:rPr>
          <w:rFonts w:ascii="宋体" w:hAnsi="宋体" w:eastAsia="宋体" w:cs="宋体"/>
          <w:color w:val="0000FF"/>
          <w:sz w:val="24"/>
          <w:szCs w:val="24"/>
        </w:rPr>
        <w:t>优先审查的 1000 份病历的人工审核结果确定后，由仲裁人员或临床专家随机抽取进行第三级审查。</w:t>
      </w:r>
    </w:p>
    <w:p w14:paraId="2926C949">
      <w:pPr>
        <w:spacing w:line="360" w:lineRule="auto"/>
        <w:jc w:val="both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6、人工审查记录表，如下所示：</w:t>
      </w:r>
    </w:p>
    <w:p w14:paraId="06FD8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center"/>
        <w:textAlignment w:val="auto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表1 数据标注记录表</w:t>
      </w:r>
    </w:p>
    <w:tbl>
      <w:tblPr>
        <w:tblStyle w:val="4"/>
        <w:tblW w:w="1057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8"/>
        <w:gridCol w:w="744"/>
        <w:gridCol w:w="778"/>
        <w:gridCol w:w="1280"/>
        <w:gridCol w:w="820"/>
        <w:gridCol w:w="1069"/>
        <w:gridCol w:w="967"/>
        <w:gridCol w:w="1421"/>
        <w:gridCol w:w="944"/>
        <w:gridCol w:w="956"/>
        <w:gridCol w:w="922"/>
      </w:tblGrid>
      <w:tr w14:paraId="71315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  <w:jc w:val="center"/>
        </w:trPr>
        <w:tc>
          <w:tcPr>
            <w:tcW w:w="678" w:type="dxa"/>
            <w:vMerge w:val="restart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BF85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试验编号</w:t>
            </w:r>
          </w:p>
        </w:tc>
        <w:tc>
          <w:tcPr>
            <w:tcW w:w="744" w:type="dxa"/>
            <w:vMerge w:val="restart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3EAB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标准编号</w:t>
            </w:r>
          </w:p>
        </w:tc>
        <w:tc>
          <w:tcPr>
            <w:tcW w:w="778" w:type="dxa"/>
            <w:vMerge w:val="restart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BFD8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标准标识</w:t>
            </w:r>
          </w:p>
        </w:tc>
        <w:tc>
          <w:tcPr>
            <w:tcW w:w="1280" w:type="dxa"/>
            <w:vMerge w:val="restart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ABB3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标准内容</w:t>
            </w:r>
          </w:p>
        </w:tc>
        <w:tc>
          <w:tcPr>
            <w:tcW w:w="820" w:type="dxa"/>
            <w:vMerge w:val="restart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518B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患者编号</w:t>
            </w:r>
          </w:p>
        </w:tc>
        <w:tc>
          <w:tcPr>
            <w:tcW w:w="1069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FFC1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nothink_</w:t>
            </w:r>
          </w:p>
          <w:p w14:paraId="5C5C94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noexp</w:t>
            </w:r>
          </w:p>
        </w:tc>
        <w:tc>
          <w:tcPr>
            <w:tcW w:w="2388" w:type="dxa"/>
            <w:gridSpan w:val="2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C2EA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nothink_exp</w:t>
            </w:r>
          </w:p>
        </w:tc>
        <w:tc>
          <w:tcPr>
            <w:tcW w:w="944" w:type="dxa"/>
            <w:vMerge w:val="restart"/>
            <w:tcBorders>
              <w:top w:val="single" w:color="333333" w:sz="4" w:space="0"/>
              <w:left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E22B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人工审核结果</w:t>
            </w:r>
          </w:p>
        </w:tc>
        <w:tc>
          <w:tcPr>
            <w:tcW w:w="956" w:type="dxa"/>
            <w:vMerge w:val="restart"/>
            <w:tcBorders>
              <w:top w:val="single" w:color="333333" w:sz="4" w:space="0"/>
              <w:left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C276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难以程度标注</w:t>
            </w:r>
          </w:p>
        </w:tc>
        <w:tc>
          <w:tcPr>
            <w:tcW w:w="922" w:type="dxa"/>
            <w:vMerge w:val="restart"/>
            <w:tcBorders>
              <w:top w:val="single" w:color="333333" w:sz="4" w:space="0"/>
              <w:left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3BE6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临床专家终审</w:t>
            </w:r>
          </w:p>
        </w:tc>
      </w:tr>
      <w:tr w14:paraId="7F28E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  <w:jc w:val="center"/>
        </w:trPr>
        <w:tc>
          <w:tcPr>
            <w:tcW w:w="678" w:type="dxa"/>
            <w:vMerge w:val="continue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6280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44" w:type="dxa"/>
            <w:vMerge w:val="continue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1651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8" w:type="dxa"/>
            <w:vMerge w:val="continue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BE57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1280" w:type="dxa"/>
            <w:vMerge w:val="continue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525E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820" w:type="dxa"/>
            <w:vMerge w:val="continue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F5D7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1069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27BB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标注结果</w:t>
            </w:r>
          </w:p>
        </w:tc>
        <w:tc>
          <w:tcPr>
            <w:tcW w:w="967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FAF6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标注结果</w:t>
            </w:r>
          </w:p>
        </w:tc>
        <w:tc>
          <w:tcPr>
            <w:tcW w:w="1421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0823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匹配解释</w:t>
            </w:r>
          </w:p>
        </w:tc>
        <w:tc>
          <w:tcPr>
            <w:tcW w:w="944" w:type="dxa"/>
            <w:vMerge w:val="continue"/>
            <w:tcBorders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DE31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E4BF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22" w:type="dxa"/>
            <w:vMerge w:val="continue"/>
            <w:tcBorders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24DC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1D8C0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  <w:jc w:val="center"/>
        </w:trPr>
        <w:tc>
          <w:tcPr>
            <w:tcW w:w="678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2ACE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试验_021</w:t>
            </w:r>
          </w:p>
        </w:tc>
        <w:tc>
          <w:tcPr>
            <w:tcW w:w="744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C270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778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7334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排除标准</w:t>
            </w:r>
          </w:p>
        </w:tc>
        <w:tc>
          <w:tcPr>
            <w:tcW w:w="128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8D70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双侧或单侧肾动脉狭窄者</w:t>
            </w:r>
          </w:p>
        </w:tc>
        <w:tc>
          <w:tcPr>
            <w:tcW w:w="82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72B8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11101640</w:t>
            </w:r>
          </w:p>
        </w:tc>
        <w:tc>
          <w:tcPr>
            <w:tcW w:w="1069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0325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符合</w:t>
            </w:r>
          </w:p>
        </w:tc>
        <w:tc>
          <w:tcPr>
            <w:tcW w:w="967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759D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未知</w:t>
            </w:r>
          </w:p>
        </w:tc>
        <w:tc>
          <w:tcPr>
            <w:tcW w:w="1421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9C2A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患者病历中未提及任何与肾动脉狭窄相关的诊断或检查结果。</w:t>
            </w:r>
          </w:p>
        </w:tc>
        <w:tc>
          <w:tcPr>
            <w:tcW w:w="944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EE09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7E25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22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15D0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6280F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  <w:jc w:val="center"/>
        </w:trPr>
        <w:tc>
          <w:tcPr>
            <w:tcW w:w="678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35A4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试验_013</w:t>
            </w:r>
          </w:p>
        </w:tc>
        <w:tc>
          <w:tcPr>
            <w:tcW w:w="744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45D6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778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30D1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排除标准</w:t>
            </w:r>
          </w:p>
        </w:tc>
        <w:tc>
          <w:tcPr>
            <w:tcW w:w="128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7B2B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已知对研究药物或钙通道阻滞剂不耐受及效果不佳者、过敏或对研究药物辅料成分过敏、或对大豆、豆制品、鸡蛋及鸡蛋制品过敏的患者</w:t>
            </w:r>
          </w:p>
        </w:tc>
        <w:tc>
          <w:tcPr>
            <w:tcW w:w="82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9F59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13678416</w:t>
            </w:r>
          </w:p>
        </w:tc>
        <w:tc>
          <w:tcPr>
            <w:tcW w:w="1069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6CC8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符合</w:t>
            </w:r>
          </w:p>
        </w:tc>
        <w:tc>
          <w:tcPr>
            <w:tcW w:w="967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C0B8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不符合</w:t>
            </w:r>
          </w:p>
        </w:tc>
        <w:tc>
          <w:tcPr>
            <w:tcW w:w="1421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18C4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患者病历中未提及对钙通道阻滞剂、研究药物辅料成分、大豆、豆制品、鸡蛋或鸡蛋制品的过敏史或不耐受情况。因此，患者不符合该排除标准。</w:t>
            </w:r>
          </w:p>
        </w:tc>
        <w:tc>
          <w:tcPr>
            <w:tcW w:w="944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CFF3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1385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22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524D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</w:tbl>
    <w:p w14:paraId="2304B93E">
      <w:pPr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D40E71"/>
    <w:multiLevelType w:val="singleLevel"/>
    <w:tmpl w:val="8AD40E71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D99EB0B9"/>
    <w:multiLevelType w:val="singleLevel"/>
    <w:tmpl w:val="D99EB0B9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21D5C52B"/>
    <w:multiLevelType w:val="singleLevel"/>
    <w:tmpl w:val="21D5C52B"/>
    <w:lvl w:ilvl="0" w:tentative="0">
      <w:start w:val="1"/>
      <w:numFmt w:val="low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850E3"/>
    <w:rsid w:val="0059604D"/>
    <w:rsid w:val="00655662"/>
    <w:rsid w:val="00B032F8"/>
    <w:rsid w:val="00D17F05"/>
    <w:rsid w:val="01184B95"/>
    <w:rsid w:val="01B34661"/>
    <w:rsid w:val="01C64A64"/>
    <w:rsid w:val="020C134C"/>
    <w:rsid w:val="021E6B47"/>
    <w:rsid w:val="02CF7DDC"/>
    <w:rsid w:val="02D04B82"/>
    <w:rsid w:val="02F90E10"/>
    <w:rsid w:val="031548F3"/>
    <w:rsid w:val="03235350"/>
    <w:rsid w:val="032505FF"/>
    <w:rsid w:val="034F4652"/>
    <w:rsid w:val="036249D9"/>
    <w:rsid w:val="03FE2CC0"/>
    <w:rsid w:val="040C0819"/>
    <w:rsid w:val="045D59E2"/>
    <w:rsid w:val="04601706"/>
    <w:rsid w:val="046E6955"/>
    <w:rsid w:val="047078B1"/>
    <w:rsid w:val="04B3517B"/>
    <w:rsid w:val="04B834F0"/>
    <w:rsid w:val="054A3735"/>
    <w:rsid w:val="0550410E"/>
    <w:rsid w:val="05513DA3"/>
    <w:rsid w:val="056F492D"/>
    <w:rsid w:val="056F78B4"/>
    <w:rsid w:val="059C7940"/>
    <w:rsid w:val="059F2893"/>
    <w:rsid w:val="05C24B86"/>
    <w:rsid w:val="05DB633A"/>
    <w:rsid w:val="06401ABB"/>
    <w:rsid w:val="06726024"/>
    <w:rsid w:val="06A67F02"/>
    <w:rsid w:val="06A7322B"/>
    <w:rsid w:val="06D057FD"/>
    <w:rsid w:val="06F23CF7"/>
    <w:rsid w:val="07AE076E"/>
    <w:rsid w:val="07FC6C56"/>
    <w:rsid w:val="080065C1"/>
    <w:rsid w:val="083561A0"/>
    <w:rsid w:val="0840205A"/>
    <w:rsid w:val="088E4929"/>
    <w:rsid w:val="08B5521F"/>
    <w:rsid w:val="08BD6586"/>
    <w:rsid w:val="08E41A1A"/>
    <w:rsid w:val="0955581E"/>
    <w:rsid w:val="09AE54AD"/>
    <w:rsid w:val="09BF37AE"/>
    <w:rsid w:val="0A0507AE"/>
    <w:rsid w:val="0A0F2E6A"/>
    <w:rsid w:val="0A67548F"/>
    <w:rsid w:val="0A800542"/>
    <w:rsid w:val="0AAB320F"/>
    <w:rsid w:val="0B782AC3"/>
    <w:rsid w:val="0BAE377A"/>
    <w:rsid w:val="0BBD5CC3"/>
    <w:rsid w:val="0BE01056"/>
    <w:rsid w:val="0C3145C6"/>
    <w:rsid w:val="0C3715F5"/>
    <w:rsid w:val="0C3D7D7E"/>
    <w:rsid w:val="0C4047E9"/>
    <w:rsid w:val="0C4B6041"/>
    <w:rsid w:val="0C6410B7"/>
    <w:rsid w:val="0C752765"/>
    <w:rsid w:val="0C836751"/>
    <w:rsid w:val="0C8C49F9"/>
    <w:rsid w:val="0C8E71FF"/>
    <w:rsid w:val="0CC634A7"/>
    <w:rsid w:val="0D3E344A"/>
    <w:rsid w:val="0D4A773B"/>
    <w:rsid w:val="0D4F336D"/>
    <w:rsid w:val="0D651232"/>
    <w:rsid w:val="0D721058"/>
    <w:rsid w:val="0D8D4BC1"/>
    <w:rsid w:val="0E1E4B41"/>
    <w:rsid w:val="0E3511AD"/>
    <w:rsid w:val="0E5928AD"/>
    <w:rsid w:val="0E8621AF"/>
    <w:rsid w:val="0E89327E"/>
    <w:rsid w:val="0EA95D99"/>
    <w:rsid w:val="0EC66FF9"/>
    <w:rsid w:val="0EDE761C"/>
    <w:rsid w:val="0EEE3A0C"/>
    <w:rsid w:val="0F2D7239"/>
    <w:rsid w:val="0F520089"/>
    <w:rsid w:val="0FD0616C"/>
    <w:rsid w:val="0FE3707E"/>
    <w:rsid w:val="10161965"/>
    <w:rsid w:val="10204274"/>
    <w:rsid w:val="102E6A90"/>
    <w:rsid w:val="104765E5"/>
    <w:rsid w:val="107C7A00"/>
    <w:rsid w:val="10A63F93"/>
    <w:rsid w:val="10FD26C2"/>
    <w:rsid w:val="11342E93"/>
    <w:rsid w:val="116256B4"/>
    <w:rsid w:val="11774AB3"/>
    <w:rsid w:val="118340B0"/>
    <w:rsid w:val="118E4CD5"/>
    <w:rsid w:val="11BE0BF5"/>
    <w:rsid w:val="11C0751B"/>
    <w:rsid w:val="11E87F26"/>
    <w:rsid w:val="123D22BC"/>
    <w:rsid w:val="12DF252D"/>
    <w:rsid w:val="12F949DE"/>
    <w:rsid w:val="12FE7BE0"/>
    <w:rsid w:val="130816A1"/>
    <w:rsid w:val="133749FE"/>
    <w:rsid w:val="13921CD2"/>
    <w:rsid w:val="13A93758"/>
    <w:rsid w:val="13AB1365"/>
    <w:rsid w:val="13DD285C"/>
    <w:rsid w:val="13EC4764"/>
    <w:rsid w:val="148C14DA"/>
    <w:rsid w:val="14A23156"/>
    <w:rsid w:val="14BB3ADA"/>
    <w:rsid w:val="15192571"/>
    <w:rsid w:val="152C5612"/>
    <w:rsid w:val="15304E48"/>
    <w:rsid w:val="153B44EC"/>
    <w:rsid w:val="156953DE"/>
    <w:rsid w:val="15A13F50"/>
    <w:rsid w:val="15E97DB9"/>
    <w:rsid w:val="15EA0011"/>
    <w:rsid w:val="15EF3344"/>
    <w:rsid w:val="16350286"/>
    <w:rsid w:val="1651580F"/>
    <w:rsid w:val="1672575A"/>
    <w:rsid w:val="16B462FE"/>
    <w:rsid w:val="16D10CD8"/>
    <w:rsid w:val="16DE4849"/>
    <w:rsid w:val="16E51164"/>
    <w:rsid w:val="17237776"/>
    <w:rsid w:val="17375687"/>
    <w:rsid w:val="180155C4"/>
    <w:rsid w:val="18045471"/>
    <w:rsid w:val="183329B4"/>
    <w:rsid w:val="1843555F"/>
    <w:rsid w:val="187037B1"/>
    <w:rsid w:val="18CA4323"/>
    <w:rsid w:val="190A1B8C"/>
    <w:rsid w:val="191B2954"/>
    <w:rsid w:val="19957BDC"/>
    <w:rsid w:val="19DA4DC4"/>
    <w:rsid w:val="1A940568"/>
    <w:rsid w:val="1AC341CD"/>
    <w:rsid w:val="1AE8035A"/>
    <w:rsid w:val="1B137113"/>
    <w:rsid w:val="1B3503DD"/>
    <w:rsid w:val="1B440E0A"/>
    <w:rsid w:val="1B441615"/>
    <w:rsid w:val="1B554F77"/>
    <w:rsid w:val="1B5E5040"/>
    <w:rsid w:val="1B6A231C"/>
    <w:rsid w:val="1BB64A61"/>
    <w:rsid w:val="1BB83320"/>
    <w:rsid w:val="1BCA7902"/>
    <w:rsid w:val="1BCE17C5"/>
    <w:rsid w:val="1BF060A2"/>
    <w:rsid w:val="1BF30FC4"/>
    <w:rsid w:val="1BF56073"/>
    <w:rsid w:val="1BF845F8"/>
    <w:rsid w:val="1C0C54DA"/>
    <w:rsid w:val="1C45069C"/>
    <w:rsid w:val="1C595A1B"/>
    <w:rsid w:val="1C743F07"/>
    <w:rsid w:val="1CEB43D0"/>
    <w:rsid w:val="1D297755"/>
    <w:rsid w:val="1D506313"/>
    <w:rsid w:val="1D745C28"/>
    <w:rsid w:val="1D801630"/>
    <w:rsid w:val="1DD30A6D"/>
    <w:rsid w:val="1DE5415D"/>
    <w:rsid w:val="1E675E37"/>
    <w:rsid w:val="1EDB24DB"/>
    <w:rsid w:val="1EFD5634"/>
    <w:rsid w:val="1EFF78B5"/>
    <w:rsid w:val="1F1534E0"/>
    <w:rsid w:val="1F3273C9"/>
    <w:rsid w:val="1F3E386D"/>
    <w:rsid w:val="1F5D6890"/>
    <w:rsid w:val="1F7C7035"/>
    <w:rsid w:val="1F8D76A4"/>
    <w:rsid w:val="20340899"/>
    <w:rsid w:val="2061384C"/>
    <w:rsid w:val="20736AD1"/>
    <w:rsid w:val="20897C1F"/>
    <w:rsid w:val="20C95584"/>
    <w:rsid w:val="210C316C"/>
    <w:rsid w:val="217269A9"/>
    <w:rsid w:val="21817D0D"/>
    <w:rsid w:val="21B053D5"/>
    <w:rsid w:val="21D166F0"/>
    <w:rsid w:val="21FA6EE1"/>
    <w:rsid w:val="222F1AFD"/>
    <w:rsid w:val="22354847"/>
    <w:rsid w:val="228A5B0B"/>
    <w:rsid w:val="22B35EE1"/>
    <w:rsid w:val="22B41CF5"/>
    <w:rsid w:val="22B851E6"/>
    <w:rsid w:val="22E673AE"/>
    <w:rsid w:val="22E70485"/>
    <w:rsid w:val="231A2B2E"/>
    <w:rsid w:val="236A5162"/>
    <w:rsid w:val="23726B27"/>
    <w:rsid w:val="23794B4A"/>
    <w:rsid w:val="239B0BC4"/>
    <w:rsid w:val="23A00B74"/>
    <w:rsid w:val="23FD5DAF"/>
    <w:rsid w:val="2401785F"/>
    <w:rsid w:val="243318EF"/>
    <w:rsid w:val="244D7348"/>
    <w:rsid w:val="247A283A"/>
    <w:rsid w:val="249E6512"/>
    <w:rsid w:val="24FD4014"/>
    <w:rsid w:val="251F1E8B"/>
    <w:rsid w:val="25626780"/>
    <w:rsid w:val="25731AE1"/>
    <w:rsid w:val="25E22D30"/>
    <w:rsid w:val="25EC3749"/>
    <w:rsid w:val="2646424F"/>
    <w:rsid w:val="26C45874"/>
    <w:rsid w:val="27026ED3"/>
    <w:rsid w:val="2716377E"/>
    <w:rsid w:val="273304E3"/>
    <w:rsid w:val="27BF055A"/>
    <w:rsid w:val="284020F7"/>
    <w:rsid w:val="28974852"/>
    <w:rsid w:val="28BB1536"/>
    <w:rsid w:val="28E05FF7"/>
    <w:rsid w:val="293A3D57"/>
    <w:rsid w:val="29583FBF"/>
    <w:rsid w:val="298D6F76"/>
    <w:rsid w:val="29964988"/>
    <w:rsid w:val="29D11F63"/>
    <w:rsid w:val="29E26EBD"/>
    <w:rsid w:val="29F4249C"/>
    <w:rsid w:val="2A16677F"/>
    <w:rsid w:val="2A2057E4"/>
    <w:rsid w:val="2A2C3EA3"/>
    <w:rsid w:val="2A3511B9"/>
    <w:rsid w:val="2A5F69F2"/>
    <w:rsid w:val="2A8671B8"/>
    <w:rsid w:val="2A881B21"/>
    <w:rsid w:val="2A8B411D"/>
    <w:rsid w:val="2AB86D60"/>
    <w:rsid w:val="2AC705BB"/>
    <w:rsid w:val="2AED1EED"/>
    <w:rsid w:val="2B352E67"/>
    <w:rsid w:val="2B5A7CF2"/>
    <w:rsid w:val="2B5E51A1"/>
    <w:rsid w:val="2B997209"/>
    <w:rsid w:val="2BEF3246"/>
    <w:rsid w:val="2C1E58D9"/>
    <w:rsid w:val="2C587A08"/>
    <w:rsid w:val="2C5A4142"/>
    <w:rsid w:val="2C697387"/>
    <w:rsid w:val="2CBD21BA"/>
    <w:rsid w:val="2CE63DF8"/>
    <w:rsid w:val="2D32476E"/>
    <w:rsid w:val="2D7769E7"/>
    <w:rsid w:val="2DB576D8"/>
    <w:rsid w:val="2DCF2094"/>
    <w:rsid w:val="2E120103"/>
    <w:rsid w:val="2E4315B2"/>
    <w:rsid w:val="2EE56004"/>
    <w:rsid w:val="2F0473AA"/>
    <w:rsid w:val="2F566995"/>
    <w:rsid w:val="2F634EE2"/>
    <w:rsid w:val="2F6E2092"/>
    <w:rsid w:val="2FAB09F1"/>
    <w:rsid w:val="2FC666B1"/>
    <w:rsid w:val="2FDB5672"/>
    <w:rsid w:val="300215D6"/>
    <w:rsid w:val="30112B90"/>
    <w:rsid w:val="302077F1"/>
    <w:rsid w:val="30461F79"/>
    <w:rsid w:val="30526C70"/>
    <w:rsid w:val="308137A8"/>
    <w:rsid w:val="309E619F"/>
    <w:rsid w:val="30C15E0F"/>
    <w:rsid w:val="30D105F3"/>
    <w:rsid w:val="317E06F2"/>
    <w:rsid w:val="31A44CBA"/>
    <w:rsid w:val="31E84689"/>
    <w:rsid w:val="31F168A6"/>
    <w:rsid w:val="321B5943"/>
    <w:rsid w:val="322D3CDD"/>
    <w:rsid w:val="32774ABF"/>
    <w:rsid w:val="3296497C"/>
    <w:rsid w:val="32A54789"/>
    <w:rsid w:val="32DB7B32"/>
    <w:rsid w:val="32F2274C"/>
    <w:rsid w:val="32FC3B78"/>
    <w:rsid w:val="33295DC3"/>
    <w:rsid w:val="33493444"/>
    <w:rsid w:val="339B0EE1"/>
    <w:rsid w:val="33E86911"/>
    <w:rsid w:val="34322FCA"/>
    <w:rsid w:val="34BF3E68"/>
    <w:rsid w:val="355619D4"/>
    <w:rsid w:val="35CE4879"/>
    <w:rsid w:val="35E22539"/>
    <w:rsid w:val="35E52AF5"/>
    <w:rsid w:val="361D6F99"/>
    <w:rsid w:val="362F7E40"/>
    <w:rsid w:val="36370E76"/>
    <w:rsid w:val="36D02C2A"/>
    <w:rsid w:val="36E37AD5"/>
    <w:rsid w:val="37CB54A8"/>
    <w:rsid w:val="37CE7B81"/>
    <w:rsid w:val="37F43F95"/>
    <w:rsid w:val="37FC43F8"/>
    <w:rsid w:val="38073361"/>
    <w:rsid w:val="381474CF"/>
    <w:rsid w:val="381B0801"/>
    <w:rsid w:val="38E91A3D"/>
    <w:rsid w:val="394F7805"/>
    <w:rsid w:val="39642930"/>
    <w:rsid w:val="39643B82"/>
    <w:rsid w:val="398B28E1"/>
    <w:rsid w:val="3995765A"/>
    <w:rsid w:val="39A47D52"/>
    <w:rsid w:val="39AB043B"/>
    <w:rsid w:val="39B96354"/>
    <w:rsid w:val="39D3431E"/>
    <w:rsid w:val="3A0B20C4"/>
    <w:rsid w:val="3A5E1C43"/>
    <w:rsid w:val="3A8D29D0"/>
    <w:rsid w:val="3AC44260"/>
    <w:rsid w:val="3AD97527"/>
    <w:rsid w:val="3B3064E3"/>
    <w:rsid w:val="3B465DC1"/>
    <w:rsid w:val="3B4B0EA6"/>
    <w:rsid w:val="3B6D2230"/>
    <w:rsid w:val="3B7225E0"/>
    <w:rsid w:val="3BEA47DA"/>
    <w:rsid w:val="3BF16705"/>
    <w:rsid w:val="3C0F26DD"/>
    <w:rsid w:val="3C206874"/>
    <w:rsid w:val="3C4E1215"/>
    <w:rsid w:val="3C583017"/>
    <w:rsid w:val="3C6B3488"/>
    <w:rsid w:val="3C6E6330"/>
    <w:rsid w:val="3C7626F9"/>
    <w:rsid w:val="3CC92F13"/>
    <w:rsid w:val="3CD04A0A"/>
    <w:rsid w:val="3D0576E8"/>
    <w:rsid w:val="3D092958"/>
    <w:rsid w:val="3D72445B"/>
    <w:rsid w:val="3DC60167"/>
    <w:rsid w:val="3DF16A90"/>
    <w:rsid w:val="3E367F26"/>
    <w:rsid w:val="3E4D7489"/>
    <w:rsid w:val="3E604B1C"/>
    <w:rsid w:val="3E693B97"/>
    <w:rsid w:val="3EA6489F"/>
    <w:rsid w:val="3F1C10C9"/>
    <w:rsid w:val="3F377D38"/>
    <w:rsid w:val="3F5C33C0"/>
    <w:rsid w:val="3F863779"/>
    <w:rsid w:val="3FCC7084"/>
    <w:rsid w:val="3FE840D9"/>
    <w:rsid w:val="402E6C93"/>
    <w:rsid w:val="40416B49"/>
    <w:rsid w:val="407F5E07"/>
    <w:rsid w:val="409B0419"/>
    <w:rsid w:val="409F22FD"/>
    <w:rsid w:val="40AA2995"/>
    <w:rsid w:val="40E10A7C"/>
    <w:rsid w:val="412830A3"/>
    <w:rsid w:val="41462B6C"/>
    <w:rsid w:val="41942AA1"/>
    <w:rsid w:val="41CF25D1"/>
    <w:rsid w:val="42042555"/>
    <w:rsid w:val="424E594E"/>
    <w:rsid w:val="424F002C"/>
    <w:rsid w:val="425248ED"/>
    <w:rsid w:val="42661BB9"/>
    <w:rsid w:val="43176382"/>
    <w:rsid w:val="43383013"/>
    <w:rsid w:val="433C6ACD"/>
    <w:rsid w:val="4341547B"/>
    <w:rsid w:val="438D1001"/>
    <w:rsid w:val="439E41C4"/>
    <w:rsid w:val="43E42261"/>
    <w:rsid w:val="43FF31E2"/>
    <w:rsid w:val="442800F5"/>
    <w:rsid w:val="44447C71"/>
    <w:rsid w:val="445C087A"/>
    <w:rsid w:val="44896199"/>
    <w:rsid w:val="44A12E89"/>
    <w:rsid w:val="44DC08E5"/>
    <w:rsid w:val="451F2C71"/>
    <w:rsid w:val="4535234F"/>
    <w:rsid w:val="45831EC5"/>
    <w:rsid w:val="4619399C"/>
    <w:rsid w:val="46502265"/>
    <w:rsid w:val="46B25549"/>
    <w:rsid w:val="46D466A2"/>
    <w:rsid w:val="46D90442"/>
    <w:rsid w:val="47034869"/>
    <w:rsid w:val="47541ACA"/>
    <w:rsid w:val="47833BE6"/>
    <w:rsid w:val="47D4400E"/>
    <w:rsid w:val="47FC6AA1"/>
    <w:rsid w:val="48005001"/>
    <w:rsid w:val="48151133"/>
    <w:rsid w:val="482B0471"/>
    <w:rsid w:val="486578D6"/>
    <w:rsid w:val="48BD39CF"/>
    <w:rsid w:val="48BD4153"/>
    <w:rsid w:val="48FB267B"/>
    <w:rsid w:val="490F38CE"/>
    <w:rsid w:val="49422156"/>
    <w:rsid w:val="49464E06"/>
    <w:rsid w:val="49684397"/>
    <w:rsid w:val="49A163D1"/>
    <w:rsid w:val="49B73705"/>
    <w:rsid w:val="49E16CDA"/>
    <w:rsid w:val="49ED3FE3"/>
    <w:rsid w:val="4A3D2AA8"/>
    <w:rsid w:val="4A473FE6"/>
    <w:rsid w:val="4A5952E7"/>
    <w:rsid w:val="4A5E205A"/>
    <w:rsid w:val="4A745D49"/>
    <w:rsid w:val="4A7D4D9C"/>
    <w:rsid w:val="4A7E7E93"/>
    <w:rsid w:val="4A882EED"/>
    <w:rsid w:val="4AF0311B"/>
    <w:rsid w:val="4AF531BC"/>
    <w:rsid w:val="4B226D6E"/>
    <w:rsid w:val="4B244729"/>
    <w:rsid w:val="4B583FBD"/>
    <w:rsid w:val="4B9F6CCA"/>
    <w:rsid w:val="4BAE4629"/>
    <w:rsid w:val="4BCB27BA"/>
    <w:rsid w:val="4BE31716"/>
    <w:rsid w:val="4BEC732C"/>
    <w:rsid w:val="4C0B16FA"/>
    <w:rsid w:val="4C147DB4"/>
    <w:rsid w:val="4C6805D0"/>
    <w:rsid w:val="4C943DF1"/>
    <w:rsid w:val="4CE02FB7"/>
    <w:rsid w:val="4D1E48F4"/>
    <w:rsid w:val="4DA818B3"/>
    <w:rsid w:val="4DDE2E72"/>
    <w:rsid w:val="4DE7377D"/>
    <w:rsid w:val="4DE87006"/>
    <w:rsid w:val="4E0B3B94"/>
    <w:rsid w:val="4E243163"/>
    <w:rsid w:val="4E9E1964"/>
    <w:rsid w:val="4EA62DEA"/>
    <w:rsid w:val="4EE12C53"/>
    <w:rsid w:val="4EFC444E"/>
    <w:rsid w:val="4F093D08"/>
    <w:rsid w:val="4F264426"/>
    <w:rsid w:val="4F384AAF"/>
    <w:rsid w:val="50110D1E"/>
    <w:rsid w:val="504613D0"/>
    <w:rsid w:val="50531343"/>
    <w:rsid w:val="507B4350"/>
    <w:rsid w:val="50AE54EE"/>
    <w:rsid w:val="50B458E9"/>
    <w:rsid w:val="510913D3"/>
    <w:rsid w:val="51230402"/>
    <w:rsid w:val="512F0663"/>
    <w:rsid w:val="515700A1"/>
    <w:rsid w:val="51804F07"/>
    <w:rsid w:val="518B0FFB"/>
    <w:rsid w:val="519C6326"/>
    <w:rsid w:val="51CE7CF7"/>
    <w:rsid w:val="51D00881"/>
    <w:rsid w:val="51F57689"/>
    <w:rsid w:val="526942D5"/>
    <w:rsid w:val="528135FA"/>
    <w:rsid w:val="52B40FB0"/>
    <w:rsid w:val="531A34DA"/>
    <w:rsid w:val="532E7CB8"/>
    <w:rsid w:val="53966185"/>
    <w:rsid w:val="53BF1C5C"/>
    <w:rsid w:val="53C92649"/>
    <w:rsid w:val="53C96A0D"/>
    <w:rsid w:val="53F2701B"/>
    <w:rsid w:val="541146F1"/>
    <w:rsid w:val="54265C11"/>
    <w:rsid w:val="54510D83"/>
    <w:rsid w:val="54D07E72"/>
    <w:rsid w:val="54D14AFB"/>
    <w:rsid w:val="54DD0D32"/>
    <w:rsid w:val="550D04F3"/>
    <w:rsid w:val="553D3D85"/>
    <w:rsid w:val="55692D99"/>
    <w:rsid w:val="5581327A"/>
    <w:rsid w:val="55FA5A3F"/>
    <w:rsid w:val="565225D2"/>
    <w:rsid w:val="56750EF6"/>
    <w:rsid w:val="569124F3"/>
    <w:rsid w:val="56DD074C"/>
    <w:rsid w:val="574236F7"/>
    <w:rsid w:val="57431BEA"/>
    <w:rsid w:val="574810FF"/>
    <w:rsid w:val="575F7FCD"/>
    <w:rsid w:val="579A58BD"/>
    <w:rsid w:val="58297559"/>
    <w:rsid w:val="58412E05"/>
    <w:rsid w:val="58647BC0"/>
    <w:rsid w:val="58A137CB"/>
    <w:rsid w:val="58DD54DB"/>
    <w:rsid w:val="58F82335"/>
    <w:rsid w:val="58FF36BC"/>
    <w:rsid w:val="59063AF9"/>
    <w:rsid w:val="592C7F71"/>
    <w:rsid w:val="59A47FC3"/>
    <w:rsid w:val="59BA620B"/>
    <w:rsid w:val="5A0A1960"/>
    <w:rsid w:val="5A8F03BC"/>
    <w:rsid w:val="5ABE7E54"/>
    <w:rsid w:val="5ACC3D6B"/>
    <w:rsid w:val="5AD01C25"/>
    <w:rsid w:val="5AE44750"/>
    <w:rsid w:val="5B185413"/>
    <w:rsid w:val="5B6B29F5"/>
    <w:rsid w:val="5B8C6DAF"/>
    <w:rsid w:val="5BC705BE"/>
    <w:rsid w:val="5BCB4E26"/>
    <w:rsid w:val="5BDD12A2"/>
    <w:rsid w:val="5C2E2394"/>
    <w:rsid w:val="5C311D40"/>
    <w:rsid w:val="5C3B086E"/>
    <w:rsid w:val="5C8C0691"/>
    <w:rsid w:val="5C8D14AA"/>
    <w:rsid w:val="5CDA6F54"/>
    <w:rsid w:val="5D0129FD"/>
    <w:rsid w:val="5D054139"/>
    <w:rsid w:val="5D063C84"/>
    <w:rsid w:val="5D107A42"/>
    <w:rsid w:val="5D9646EC"/>
    <w:rsid w:val="5DA40367"/>
    <w:rsid w:val="5E1820D4"/>
    <w:rsid w:val="5E4818EE"/>
    <w:rsid w:val="5E773FD7"/>
    <w:rsid w:val="5E800D5D"/>
    <w:rsid w:val="5E9378A8"/>
    <w:rsid w:val="5E99133C"/>
    <w:rsid w:val="5E9B1B63"/>
    <w:rsid w:val="5EA75312"/>
    <w:rsid w:val="5ECA6E91"/>
    <w:rsid w:val="5ED230B0"/>
    <w:rsid w:val="5EDC45E6"/>
    <w:rsid w:val="5F457E1A"/>
    <w:rsid w:val="5FB01D3E"/>
    <w:rsid w:val="5FB64962"/>
    <w:rsid w:val="5FB9141C"/>
    <w:rsid w:val="5FE94DFF"/>
    <w:rsid w:val="60194190"/>
    <w:rsid w:val="60454001"/>
    <w:rsid w:val="6082198A"/>
    <w:rsid w:val="60A911DD"/>
    <w:rsid w:val="612723E2"/>
    <w:rsid w:val="613D70AD"/>
    <w:rsid w:val="61412A26"/>
    <w:rsid w:val="61A6632D"/>
    <w:rsid w:val="61D443BD"/>
    <w:rsid w:val="620D467F"/>
    <w:rsid w:val="62395AF8"/>
    <w:rsid w:val="62400F57"/>
    <w:rsid w:val="624A5C10"/>
    <w:rsid w:val="62707952"/>
    <w:rsid w:val="62D63EEB"/>
    <w:rsid w:val="630F634F"/>
    <w:rsid w:val="63217073"/>
    <w:rsid w:val="634A7241"/>
    <w:rsid w:val="635B76A3"/>
    <w:rsid w:val="63BB2D5A"/>
    <w:rsid w:val="63D01A08"/>
    <w:rsid w:val="63D21388"/>
    <w:rsid w:val="63DF3989"/>
    <w:rsid w:val="63F7386F"/>
    <w:rsid w:val="64020500"/>
    <w:rsid w:val="64137F7D"/>
    <w:rsid w:val="64172669"/>
    <w:rsid w:val="644F116A"/>
    <w:rsid w:val="6482676F"/>
    <w:rsid w:val="648531BE"/>
    <w:rsid w:val="64B349EF"/>
    <w:rsid w:val="64B77C19"/>
    <w:rsid w:val="64B77DAC"/>
    <w:rsid w:val="64E30605"/>
    <w:rsid w:val="65115F47"/>
    <w:rsid w:val="657F0FB1"/>
    <w:rsid w:val="65A23876"/>
    <w:rsid w:val="65B17818"/>
    <w:rsid w:val="65D556B4"/>
    <w:rsid w:val="65D774B5"/>
    <w:rsid w:val="66335B40"/>
    <w:rsid w:val="663F3E8A"/>
    <w:rsid w:val="66857CAC"/>
    <w:rsid w:val="66BA01C9"/>
    <w:rsid w:val="671F5CFC"/>
    <w:rsid w:val="67330B4D"/>
    <w:rsid w:val="67422C23"/>
    <w:rsid w:val="67493604"/>
    <w:rsid w:val="680628DF"/>
    <w:rsid w:val="681C30B2"/>
    <w:rsid w:val="682B22B0"/>
    <w:rsid w:val="682E4E7E"/>
    <w:rsid w:val="682F479D"/>
    <w:rsid w:val="68460701"/>
    <w:rsid w:val="684C2E3E"/>
    <w:rsid w:val="68693569"/>
    <w:rsid w:val="689A07DA"/>
    <w:rsid w:val="68AE5193"/>
    <w:rsid w:val="68EE2746"/>
    <w:rsid w:val="6908163A"/>
    <w:rsid w:val="692A17FC"/>
    <w:rsid w:val="69403220"/>
    <w:rsid w:val="6966515B"/>
    <w:rsid w:val="69762264"/>
    <w:rsid w:val="69832E0C"/>
    <w:rsid w:val="69B274F8"/>
    <w:rsid w:val="69B45915"/>
    <w:rsid w:val="69C959A7"/>
    <w:rsid w:val="69DF1C73"/>
    <w:rsid w:val="69E64A68"/>
    <w:rsid w:val="69EA27E9"/>
    <w:rsid w:val="69F75690"/>
    <w:rsid w:val="6A46498F"/>
    <w:rsid w:val="6A7916F9"/>
    <w:rsid w:val="6A97647E"/>
    <w:rsid w:val="6AAD2EDA"/>
    <w:rsid w:val="6AEB3A02"/>
    <w:rsid w:val="6B5074B1"/>
    <w:rsid w:val="6BC31DDC"/>
    <w:rsid w:val="6BC64130"/>
    <w:rsid w:val="6BDB0376"/>
    <w:rsid w:val="6C217171"/>
    <w:rsid w:val="6C986957"/>
    <w:rsid w:val="6CB96472"/>
    <w:rsid w:val="6CD0469F"/>
    <w:rsid w:val="6CFC5171"/>
    <w:rsid w:val="6D085C15"/>
    <w:rsid w:val="6D3C0A64"/>
    <w:rsid w:val="6D5C4EAA"/>
    <w:rsid w:val="6D7401DD"/>
    <w:rsid w:val="6D855A48"/>
    <w:rsid w:val="6DB2624C"/>
    <w:rsid w:val="6DB7377E"/>
    <w:rsid w:val="6DC03E71"/>
    <w:rsid w:val="6E44736F"/>
    <w:rsid w:val="6EA57B60"/>
    <w:rsid w:val="6EBA5FF0"/>
    <w:rsid w:val="6EBE6CDA"/>
    <w:rsid w:val="6EC63F3F"/>
    <w:rsid w:val="6ECE1671"/>
    <w:rsid w:val="6EDF6817"/>
    <w:rsid w:val="6EEE2D3A"/>
    <w:rsid w:val="6F514C84"/>
    <w:rsid w:val="6F6B7FB7"/>
    <w:rsid w:val="6FA277E7"/>
    <w:rsid w:val="6FEC2A7A"/>
    <w:rsid w:val="6FF87F4C"/>
    <w:rsid w:val="704260EF"/>
    <w:rsid w:val="70707B39"/>
    <w:rsid w:val="7099597C"/>
    <w:rsid w:val="70A2201B"/>
    <w:rsid w:val="70E35D0D"/>
    <w:rsid w:val="710156A6"/>
    <w:rsid w:val="710647D2"/>
    <w:rsid w:val="71536AA0"/>
    <w:rsid w:val="71816E6E"/>
    <w:rsid w:val="71C10F41"/>
    <w:rsid w:val="71D47DE2"/>
    <w:rsid w:val="71E2748A"/>
    <w:rsid w:val="71E45F98"/>
    <w:rsid w:val="723F1B31"/>
    <w:rsid w:val="726A2DF4"/>
    <w:rsid w:val="727909FE"/>
    <w:rsid w:val="72BB6864"/>
    <w:rsid w:val="72BE06FA"/>
    <w:rsid w:val="72F95D22"/>
    <w:rsid w:val="73415401"/>
    <w:rsid w:val="739303FD"/>
    <w:rsid w:val="73BE3A62"/>
    <w:rsid w:val="73E84AFC"/>
    <w:rsid w:val="741C3E48"/>
    <w:rsid w:val="745D283A"/>
    <w:rsid w:val="747A709F"/>
    <w:rsid w:val="75066D45"/>
    <w:rsid w:val="752B1691"/>
    <w:rsid w:val="75872C96"/>
    <w:rsid w:val="75B6057F"/>
    <w:rsid w:val="75C93008"/>
    <w:rsid w:val="75CA59AF"/>
    <w:rsid w:val="75DA7ED4"/>
    <w:rsid w:val="763B77EB"/>
    <w:rsid w:val="763C2281"/>
    <w:rsid w:val="76C03120"/>
    <w:rsid w:val="76CE5CB6"/>
    <w:rsid w:val="776B6888"/>
    <w:rsid w:val="77AD58B9"/>
    <w:rsid w:val="77CA0310"/>
    <w:rsid w:val="7839122B"/>
    <w:rsid w:val="78392810"/>
    <w:rsid w:val="78404199"/>
    <w:rsid w:val="78645D79"/>
    <w:rsid w:val="78983341"/>
    <w:rsid w:val="78A21823"/>
    <w:rsid w:val="78B5743E"/>
    <w:rsid w:val="78CC58C4"/>
    <w:rsid w:val="79056184"/>
    <w:rsid w:val="797F1C44"/>
    <w:rsid w:val="7984110C"/>
    <w:rsid w:val="79B01964"/>
    <w:rsid w:val="79D21A63"/>
    <w:rsid w:val="7A57046F"/>
    <w:rsid w:val="7A6F5993"/>
    <w:rsid w:val="7A7E6AD3"/>
    <w:rsid w:val="7AAE1231"/>
    <w:rsid w:val="7AAF2D83"/>
    <w:rsid w:val="7AD9182E"/>
    <w:rsid w:val="7B2B6ED7"/>
    <w:rsid w:val="7B705DAE"/>
    <w:rsid w:val="7B860FDD"/>
    <w:rsid w:val="7B911D10"/>
    <w:rsid w:val="7B97539D"/>
    <w:rsid w:val="7BA1224A"/>
    <w:rsid w:val="7BB16506"/>
    <w:rsid w:val="7BC37531"/>
    <w:rsid w:val="7BD92FDD"/>
    <w:rsid w:val="7BE14B23"/>
    <w:rsid w:val="7C66101A"/>
    <w:rsid w:val="7CE74773"/>
    <w:rsid w:val="7D1D6BB5"/>
    <w:rsid w:val="7D6F0535"/>
    <w:rsid w:val="7DC964DA"/>
    <w:rsid w:val="7DE62B70"/>
    <w:rsid w:val="7E00168C"/>
    <w:rsid w:val="7E041541"/>
    <w:rsid w:val="7E105A96"/>
    <w:rsid w:val="7E587B25"/>
    <w:rsid w:val="7E840ED7"/>
    <w:rsid w:val="7E861620"/>
    <w:rsid w:val="7E8A1CBD"/>
    <w:rsid w:val="7EA306EA"/>
    <w:rsid w:val="7EA50C4C"/>
    <w:rsid w:val="7ED858A5"/>
    <w:rsid w:val="7EF373E8"/>
    <w:rsid w:val="7F08273F"/>
    <w:rsid w:val="7F570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9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2631</Words>
  <Characters>2776</Characters>
  <Lines>0</Lines>
  <Paragraphs>0</Paragraphs>
  <TotalTime>32</TotalTime>
  <ScaleCrop>false</ScaleCrop>
  <LinksUpToDate>false</LinksUpToDate>
  <CharactersWithSpaces>2837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2025-11-13T04:06:00Z</dcterms:created>
  <dc:creator>86189</dc:creator>
  <cp:lastModifiedBy>yepanpan</cp:lastModifiedBy>
  <cp:lastPrinted>2026-07-12T11:22:00Z</cp:lastPrinted>
  <dcterms:modified xsi:type="dcterms:W3CDTF">2026-07-14T08:56:26Z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0C042E99343541FABC213129A7028806_12</vt:lpwstr>
  </property>
  <property fmtid="{D5CDD505-2E9C-101B-9397-08002B2CF9AE}" pid="4" name="KSOTemplateDocerSaveRecord">
    <vt:lpwstr>eyJoZGlkIjoiZWY2Mzc2ZTEwMzNiYTNkOTA5NDkyZDBhZmJhNmZmYjIiLCJ1c2VySWQiOiIyODAzNjYyNTQifQ==</vt:lpwstr>
  </property>
</Properties>
</file>